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EVENTO AGROTRANSFORMACIÓN 2019</w:t>
      </w:r>
    </w:p>
    <w:p>
      <w:pPr>
        <w:pStyle w:val="Normal"/>
        <w:jc w:val="both"/>
        <w:rPr>
          <w:rStyle w:val="Destacado"/>
          <w:rFonts w:ascii="Arial" w:hAnsi="Arial" w:cs="Arial"/>
          <w:i w:val="false"/>
          <w:i w:val="false"/>
          <w:color w:val="212121"/>
          <w:sz w:val="24"/>
          <w:szCs w:val="24"/>
          <w:highlight w:val="white"/>
        </w:rPr>
      </w:pPr>
      <w:r>
        <w:rPr>
          <w:rStyle w:val="Destacado"/>
          <w:rFonts w:cs="Arial" w:ascii="Arial" w:hAnsi="Arial"/>
          <w:i w:val="false"/>
          <w:color w:val="212121"/>
          <w:sz w:val="24"/>
          <w:szCs w:val="24"/>
          <w:shd w:fill="FFFFFF" w:val="clear"/>
        </w:rPr>
        <w:t xml:space="preserve">Se realizará </w:t>
      </w:r>
      <w:bookmarkStart w:id="0" w:name="__DdeLink__38_112862235"/>
      <w:r>
        <w:rPr>
          <w:rStyle w:val="Destacado"/>
          <w:rFonts w:cs="Arial" w:ascii="Arial" w:hAnsi="Arial"/>
          <w:i w:val="false"/>
          <w:color w:val="212121"/>
          <w:sz w:val="24"/>
          <w:szCs w:val="24"/>
          <w:shd w:fill="FFFFFF" w:val="clear"/>
        </w:rPr>
        <w:t>del 26 al 28 de noviembre</w:t>
      </w:r>
      <w:bookmarkEnd w:id="0"/>
      <w:r>
        <w:rPr>
          <w:rStyle w:val="Destacado"/>
          <w:rFonts w:cs="Arial" w:ascii="Arial" w:hAnsi="Arial"/>
          <w:i w:val="false"/>
          <w:color w:val="212121"/>
          <w:sz w:val="24"/>
          <w:szCs w:val="24"/>
          <w:shd w:fill="FFFFFF" w:val="clear"/>
        </w:rPr>
        <w:t xml:space="preserve"> de 2019 en el Centro de Convenciones de Costa Rica.</w:t>
      </w:r>
    </w:p>
    <w:p>
      <w:pPr>
        <w:pStyle w:val="Normal"/>
        <w:jc w:val="both"/>
        <w:rPr>
          <w:rFonts w:ascii="Helvetica" w:hAnsi="Helvetica" w:cs="Helvetica"/>
          <w:color w:val="212121"/>
          <w:sz w:val="26"/>
          <w:szCs w:val="26"/>
          <w:highlight w:val="white"/>
        </w:rPr>
      </w:pPr>
      <w:r>
        <w:rPr>
          <w:rFonts w:cs="Arial" w:ascii="Arial" w:hAnsi="Arial"/>
          <w:color w:val="212121"/>
          <w:sz w:val="24"/>
          <w:szCs w:val="24"/>
          <w:shd w:fill="FFFFFF" w:val="clear"/>
        </w:rPr>
        <w:t>Es un evento para que empresarios, exportadores y productores del sector agrícola costarricense saquen el máximo provecho de un evento dedicado a promover la agricultura como una actividad moderna, sostenible y exitosa a través de la actualización del conocimiento, el compartir experiencias y el fomento a la innovación</w:t>
      </w:r>
      <w:r>
        <w:rPr>
          <w:rFonts w:cs="Helvetica" w:ascii="Helvetica" w:hAnsi="Helvetica"/>
          <w:color w:val="212121"/>
          <w:sz w:val="26"/>
          <w:szCs w:val="26"/>
          <w:shd w:fill="FFFFFF" w:val="clear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Este “macro evento” nace como parte del Programa </w:t>
      </w:r>
      <w:hyperlink r:id="rId2">
        <w:r>
          <w:rPr>
            <w:rStyle w:val="EnlacedeInternet"/>
            <w:rFonts w:cs="Arial" w:ascii="Arial" w:hAnsi="Arial"/>
            <w:color w:val="000000" w:themeColor="text1"/>
            <w:sz w:val="24"/>
            <w:szCs w:val="24"/>
            <w:highlight w:val="white"/>
            <w:u w:val="none"/>
          </w:rPr>
          <w:t>Descubre</w:t>
        </w:r>
      </w:hyperlink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, gracias a la unión público-privada y al trabajo conjunto de instituciones que promueven el desarrollo económico y el impulso de la productividad en el sector agrícola. Agrotransformación  2019 es organizado por la </w:t>
      </w:r>
      <w:hyperlink r:id="rId3">
        <w:r>
          <w:rPr>
            <w:rStyle w:val="EnlacedeInternet"/>
            <w:rFonts w:cs="Arial" w:ascii="Arial" w:hAnsi="Arial"/>
            <w:color w:val="000000" w:themeColor="text1"/>
            <w:sz w:val="24"/>
            <w:szCs w:val="24"/>
            <w:highlight w:val="white"/>
            <w:u w:val="none"/>
          </w:rPr>
          <w:t>Promotora del Comercio Exterior de Costa Rica</w:t>
        </w:r>
      </w:hyperlink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 (PROCOMER) y el Instituto Nacional de Aprendizaje (INA) en alianza con el Ministerio de Comercio Exterior (COMEX), el Ministerio de Agricultura y Ganadería (MAG) y demás instituciones del Sector Agropecuario en este caso la Facultad de Ciencias Agroalimentarias de la UCR y la Coalición Costarricense de Iniciativas de Desarrollo (CINDE).</w:t>
      </w:r>
    </w:p>
    <w:p>
      <w:pPr>
        <w:pStyle w:val="Normal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highlight w:val="white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Programa de la actividad</w:t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  <w:highlight w:val="white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17780</wp:posOffset>
            </wp:positionH>
            <wp:positionV relativeFrom="paragraph">
              <wp:posOffset>208915</wp:posOffset>
            </wp:positionV>
            <wp:extent cx="5607050" cy="248094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M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artes 26 de noviembre de 2019</w:t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>Miércoles 27 de noviembre de 2019</w:t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/>
        <w:drawing>
          <wp:inline distT="0" distB="0" distL="19050" distR="7620">
            <wp:extent cx="5687695" cy="2157730"/>
            <wp:effectExtent l="0" t="0" r="0" b="0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>Jueves 28 de noviembre de 2019</w:t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/>
        <w:drawing>
          <wp:inline distT="0" distB="0" distL="19050" distR="5080">
            <wp:extent cx="5614670" cy="1408430"/>
            <wp:effectExtent l="0" t="0" r="0" b="0"/>
            <wp:docPr id="3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>El evento va dirigido al público en general y no tiene ningún costo.</w:t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Para las personas interesadas en participar, deben registrarse o inscribirse como corresponde, en la página web: </w:t>
      </w:r>
      <w:hyperlink r:id="rId7">
        <w:r>
          <w:rPr>
            <w:rStyle w:val="EnlacedeInternet"/>
          </w:rPr>
          <w:t>http://www.descubre.cr/agrotransformacion/</w:t>
        </w:r>
      </w:hyperlink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8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33350" distR="120015" simplePos="0" locked="0" layoutInCell="1" allowOverlap="1" relativeHeight="4">
          <wp:simplePos x="0" y="0"/>
          <wp:positionH relativeFrom="column">
            <wp:posOffset>-610235</wp:posOffset>
          </wp:positionH>
          <wp:positionV relativeFrom="paragraph">
            <wp:posOffset>-81915</wp:posOffset>
          </wp:positionV>
          <wp:extent cx="1765935" cy="676275"/>
          <wp:effectExtent l="0" t="0" r="0" b="0"/>
          <wp:wrapSquare wrapText="bothSides"/>
          <wp:docPr id="4" name="Imagen4" descr="Firma gráfica Universidad de Costa 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Firma gráfica Universidad de Costa R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80" t="21876" r="11580" b="21876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8745" simplePos="0" locked="0" layoutInCell="1" allowOverlap="1" relativeHeight="8">
          <wp:simplePos x="0" y="0"/>
          <wp:positionH relativeFrom="column">
            <wp:posOffset>3938270</wp:posOffset>
          </wp:positionH>
          <wp:positionV relativeFrom="paragraph">
            <wp:posOffset>-153035</wp:posOffset>
          </wp:positionV>
          <wp:extent cx="2357755" cy="652780"/>
          <wp:effectExtent l="0" t="0" r="0" b="0"/>
          <wp:wrapSquare wrapText="bothSides"/>
          <wp:docPr id="5" name="Imagen 5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56"/>
  <w:defaultTabStop w:val="708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55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0f3f8e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0f3f8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f3f8e"/>
    <w:rPr>
      <w:rFonts w:ascii="Tahoma" w:hAnsi="Tahoma" w:cs="Tahoma"/>
      <w:sz w:val="16"/>
      <w:szCs w:val="16"/>
    </w:rPr>
  </w:style>
  <w:style w:type="character" w:styleId="Destacado">
    <w:name w:val="Destacado"/>
    <w:basedOn w:val="DefaultParagraphFont"/>
    <w:uiPriority w:val="20"/>
    <w:qFormat/>
    <w:rsid w:val="000f3f8e"/>
    <w:rPr>
      <w:i/>
      <w:iCs/>
    </w:rPr>
  </w:style>
  <w:style w:type="character" w:styleId="EnlacedeInternet">
    <w:name w:val="Enlace de Internet"/>
    <w:basedOn w:val="DefaultParagraphFont"/>
    <w:uiPriority w:val="99"/>
    <w:semiHidden/>
    <w:unhideWhenUsed/>
    <w:rsid w:val="000f3f8e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0f3f8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0f3f8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f3f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escubre.cr/" TargetMode="External"/><Relationship Id="rId3" Type="http://schemas.openxmlformats.org/officeDocument/2006/relationships/hyperlink" Target="http://procomer.com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://www.descubre.cr/agrotransformacion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LibreOffice/5.2.1.2$Windows_X86_64 LibreOffice_project/31dd62db80d4e60af04904455ec9c9219178d620</Application>
  <Pages>2</Pages>
  <Words>219</Words>
  <Characters>1228</Characters>
  <CharactersWithSpaces>1438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2019-11-06T15:42:00Z</dcterms:created>
  <dc:creator>Estefani Jiménez</dc:creator>
  <dc:description/>
  <dc:language>es-CR</dc:language>
  <cp:lastModifiedBy>Estefani Jiménez</cp:lastModifiedBy>
  <dcterms:modified xsi:type="dcterms:W3CDTF">2019-11-06T15:53:00Z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