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Arial" w:hAnsi="Arial" w:cs="Arial"/>
          <w:sz w:val="24"/>
          <w:szCs w:val="24"/>
        </w:rPr>
      </w:pPr>
      <w:r>
        <w:rPr>
          <w:rFonts w:cs="Arial" w:ascii="Arial" w:hAnsi="Arial"/>
          <w:sz w:val="24"/>
          <w:szCs w:val="24"/>
        </w:rPr>
        <w:t>12 de abril de 2019</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b/>
          <w:b/>
          <w:sz w:val="24"/>
          <w:szCs w:val="24"/>
        </w:rPr>
      </w:pPr>
      <w:r>
        <w:rPr>
          <w:rFonts w:cs="Arial" w:ascii="Arial" w:hAnsi="Arial"/>
          <w:sz w:val="24"/>
          <w:szCs w:val="24"/>
        </w:rPr>
        <w:t xml:space="preserve">El Consejo Asesor de la Facultad de Ciencias Agroalimentarias de la Universidad de Costa Rica, reunido en sesión extraordinaria no.425 el lunes 01 de abril de 2019, manifiesta lo siguiente acerca de </w:t>
      </w:r>
      <w:r>
        <w:rPr>
          <w:rFonts w:cs="Arial" w:ascii="Arial" w:hAnsi="Arial"/>
          <w:b/>
          <w:sz w:val="24"/>
          <w:szCs w:val="24"/>
        </w:rPr>
        <w:t xml:space="preserve">la Canasta Básica Tributaria. </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b/>
          <w:b/>
          <w:sz w:val="24"/>
          <w:szCs w:val="24"/>
        </w:rPr>
      </w:pPr>
      <w:r>
        <w:rPr>
          <w:rFonts w:cs="Arial" w:ascii="Arial" w:hAnsi="Arial"/>
          <w:b/>
          <w:sz w:val="24"/>
          <w:szCs w:val="24"/>
        </w:rPr>
        <w:t>Considerando:</w:t>
      </w:r>
    </w:p>
    <w:p>
      <w:pPr>
        <w:pStyle w:val="ListParagraph"/>
        <w:numPr>
          <w:ilvl w:val="0"/>
          <w:numId w:val="1"/>
        </w:numPr>
        <w:spacing w:lineRule="auto" w:line="240" w:before="0" w:after="0"/>
        <w:jc w:val="both"/>
        <w:rPr>
          <w:rFonts w:ascii="Arial" w:hAnsi="Arial" w:cs="Arial"/>
          <w:sz w:val="24"/>
          <w:szCs w:val="24"/>
        </w:rPr>
      </w:pPr>
      <w:r>
        <w:rPr>
          <w:rFonts w:cs="Arial" w:ascii="Arial" w:hAnsi="Arial"/>
          <w:sz w:val="24"/>
          <w:szCs w:val="24"/>
        </w:rPr>
        <w:t xml:space="preserve">La información facilitada por el Ministerio de Economía sobre la canasta básica se enfoca desde un punto de vista meramente estadístico,  tomando en consideración únicamente  lo que consumen las personas que tienen más dinero y lo que consumen las personas con menos ingresos económicos, sin realizar una interpretación más profunda sobre si ese consumo visto estadísticamente responde a criterios de verdadera necesidad. </w:t>
      </w:r>
    </w:p>
    <w:p>
      <w:pPr>
        <w:pStyle w:val="ListParagraph"/>
        <w:numPr>
          <w:ilvl w:val="0"/>
          <w:numId w:val="1"/>
        </w:numPr>
        <w:spacing w:lineRule="auto" w:line="240" w:before="0" w:after="0"/>
        <w:jc w:val="both"/>
        <w:rPr>
          <w:rFonts w:ascii="Arial" w:hAnsi="Arial" w:cs="Arial"/>
          <w:sz w:val="24"/>
          <w:szCs w:val="24"/>
        </w:rPr>
      </w:pPr>
      <w:r>
        <w:rPr>
          <w:rFonts w:cs="Arial" w:ascii="Arial" w:hAnsi="Arial"/>
          <w:sz w:val="24"/>
          <w:szCs w:val="24"/>
        </w:rPr>
        <w:t>La revisión de los productos incluidos en la actual canasta básica indica que se excluyeron artículos que pueden contribuir a una alimentación saludable.</w:t>
      </w:r>
    </w:p>
    <w:p>
      <w:pPr>
        <w:pStyle w:val="ListParagraph"/>
        <w:numPr>
          <w:ilvl w:val="0"/>
          <w:numId w:val="1"/>
        </w:numPr>
        <w:spacing w:lineRule="auto" w:line="240" w:before="0" w:after="0"/>
        <w:jc w:val="both"/>
        <w:rPr>
          <w:rFonts w:ascii="Arial" w:hAnsi="Arial" w:cs="Arial"/>
          <w:color w:val="000000" w:themeColor="text1"/>
          <w:sz w:val="24"/>
          <w:szCs w:val="24"/>
        </w:rPr>
      </w:pPr>
      <w:r>
        <w:rPr>
          <w:rFonts w:cs="Arial" w:ascii="Arial" w:hAnsi="Arial"/>
          <w:sz w:val="24"/>
          <w:szCs w:val="24"/>
        </w:rPr>
        <w:t xml:space="preserve"> </w:t>
      </w:r>
      <w:r>
        <w:rPr>
          <w:rFonts w:cs="Arial" w:ascii="Arial" w:hAnsi="Arial"/>
          <w:sz w:val="24"/>
          <w:szCs w:val="24"/>
        </w:rPr>
        <w:t xml:space="preserve">El planteamiento de la  Escuela de Nutrición de la Universidad de Costa Rica, que manifiesta </w:t>
      </w:r>
      <w:r>
        <w:rPr>
          <w:rFonts w:cs="Arial" w:ascii="Arial" w:hAnsi="Arial"/>
          <w:bCs/>
          <w:color w:val="000000" w:themeColor="text1"/>
          <w:sz w:val="24"/>
          <w:szCs w:val="24"/>
          <w:shd w:fill="FFFFFF" w:val="clear"/>
        </w:rPr>
        <w:t>su inconformidad con la nueva canasta básica tributaria (CBT), al considerar que</w:t>
      </w:r>
      <w:r>
        <w:rPr>
          <w:rFonts w:cs="Arial" w:ascii="Arial" w:hAnsi="Arial"/>
          <w:sz w:val="24"/>
          <w:szCs w:val="24"/>
          <w:shd w:fill="FFFFFF" w:val="clear"/>
        </w:rPr>
        <w:t xml:space="preserve">, </w:t>
      </w:r>
      <w:r>
        <w:rPr>
          <w:rFonts w:cs="Arial" w:ascii="Arial" w:hAnsi="Arial"/>
          <w:b/>
          <w:bCs/>
          <w:sz w:val="24"/>
          <w:szCs w:val="24"/>
          <w:shd w:fill="FFFFFF" w:val="clear"/>
        </w:rPr>
        <w:t>la nueva canasta carece de criterios técnicos nutricionales claros e inclusivos, que respondan a las necesidades de la población según su perfil epidemiológico</w:t>
      </w:r>
      <w:r>
        <w:rPr>
          <w:rFonts w:cs="Arial" w:ascii="Arial" w:hAnsi="Arial"/>
          <w:sz w:val="24"/>
          <w:szCs w:val="24"/>
          <w:shd w:fill="FFFFFF" w:val="clear"/>
        </w:rPr>
        <w:t>, así como a la situación alimentaria y nutricional actual que presenta el país. La directora de la Escuela afirma que “</w:t>
      </w:r>
      <w:r>
        <w:rPr>
          <w:rFonts w:cs="Arial" w:ascii="Arial" w:hAnsi="Arial"/>
          <w:i/>
          <w:sz w:val="24"/>
          <w:szCs w:val="24"/>
          <w:shd w:fill="FFFFFF" w:val="clear"/>
        </w:rPr>
        <w:t>La canasta básica tributaria define en gran medida qué tipo de alimentos la gente puede o no adquirir. </w:t>
      </w:r>
      <w:r>
        <w:rPr>
          <w:rFonts w:cs="Arial" w:ascii="Arial" w:hAnsi="Arial"/>
          <w:b/>
          <w:bCs/>
          <w:i/>
          <w:sz w:val="24"/>
          <w:szCs w:val="24"/>
          <w:shd w:fill="FFFFFF" w:val="clear"/>
        </w:rPr>
        <w:t>El tributo va a limitar esa accesibilidad.</w:t>
      </w:r>
      <w:r>
        <w:rPr>
          <w:rFonts w:cs="Arial" w:ascii="Arial" w:hAnsi="Arial"/>
          <w:i/>
          <w:sz w:val="24"/>
          <w:szCs w:val="24"/>
          <w:shd w:fill="FFFFFF" w:val="clear"/>
        </w:rPr>
        <w:t> Cuando se habla del derecho a la alimentación, esto incluye una alimentación adecuada en calidad, cantidad e inocuidad. Entonces, no es solamente que los alimentos llenen estómagos, sino que también satisfagan las necesidades nutricionales de la población</w:t>
      </w:r>
      <w:r>
        <w:rPr>
          <w:rFonts w:cs="Arial" w:ascii="Arial" w:hAnsi="Arial"/>
          <w:sz w:val="24"/>
          <w:szCs w:val="24"/>
          <w:shd w:fill="FFFFFF" w:val="clear"/>
        </w:rPr>
        <w:t>”</w:t>
      </w:r>
    </w:p>
    <w:p>
      <w:pPr>
        <w:pStyle w:val="ListParagraph"/>
        <w:numPr>
          <w:ilvl w:val="0"/>
          <w:numId w:val="1"/>
        </w:numPr>
        <w:spacing w:lineRule="auto" w:line="240" w:before="0" w:after="0"/>
        <w:jc w:val="both"/>
        <w:rPr>
          <w:rFonts w:ascii="Arial" w:hAnsi="Arial" w:cs="Arial"/>
          <w:color w:val="000000" w:themeColor="text1"/>
          <w:sz w:val="24"/>
          <w:szCs w:val="24"/>
        </w:rPr>
      </w:pPr>
      <w:r>
        <w:rPr>
          <w:rFonts w:cs="Arial" w:ascii="Arial" w:hAnsi="Arial"/>
          <w:color w:val="000000" w:themeColor="text1"/>
          <w:sz w:val="24"/>
          <w:szCs w:val="24"/>
          <w:shd w:fill="FFFFFF" w:val="clear"/>
        </w:rPr>
        <w:t>El Ministerio de Salud busca presentar un proyecto de ley que permita incorporar la variable nutricional a la hora de seleccionar los productos incluidos en la canasta básica.</w:t>
      </w:r>
    </w:p>
    <w:p>
      <w:pPr>
        <w:pStyle w:val="ListParagraph"/>
        <w:numPr>
          <w:ilvl w:val="0"/>
          <w:numId w:val="1"/>
        </w:numPr>
        <w:spacing w:lineRule="auto" w:line="240" w:before="0" w:after="0"/>
        <w:jc w:val="both"/>
        <w:rPr>
          <w:rFonts w:ascii="Arial" w:hAnsi="Arial" w:cs="Arial"/>
          <w:color w:val="000000" w:themeColor="text1"/>
          <w:sz w:val="24"/>
          <w:szCs w:val="24"/>
        </w:rPr>
      </w:pPr>
      <w:r>
        <w:rPr>
          <w:rFonts w:cs="Arial" w:ascii="Arial" w:hAnsi="Arial"/>
          <w:color w:val="000000" w:themeColor="text1"/>
          <w:sz w:val="24"/>
          <w:szCs w:val="24"/>
          <w:shd w:fill="FFFFFF" w:val="clear"/>
        </w:rPr>
        <w:t xml:space="preserve">El Ministerio de Agricultura y Ganadería solicitará </w:t>
      </w:r>
      <w:r>
        <w:rPr>
          <w:rFonts w:cs="Arial" w:ascii="Arial" w:hAnsi="Arial"/>
          <w:color w:val="000000"/>
          <w:sz w:val="24"/>
          <w:szCs w:val="24"/>
          <w:shd w:fill="FFFFFF" w:val="clear"/>
        </w:rPr>
        <w:t>“un replanteamiento más profundo” de la metodología que utilizaron para definir los productos de la nueva canasta básica tributaria.</w:t>
      </w:r>
    </w:p>
    <w:p>
      <w:pPr>
        <w:pStyle w:val="Normal"/>
        <w:spacing w:lineRule="auto" w:line="240"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lineRule="auto" w:line="240" w:before="0" w:after="0"/>
        <w:jc w:val="both"/>
        <w:rPr>
          <w:rFonts w:ascii="Arial" w:hAnsi="Arial" w:cs="Arial"/>
          <w:b/>
          <w:b/>
          <w:color w:val="000000" w:themeColor="text1"/>
          <w:sz w:val="24"/>
          <w:szCs w:val="24"/>
        </w:rPr>
      </w:pPr>
      <w:r>
        <w:rPr>
          <w:rFonts w:cs="Arial" w:ascii="Arial" w:hAnsi="Arial"/>
          <w:b/>
          <w:color w:val="000000" w:themeColor="text1"/>
          <w:sz w:val="24"/>
          <w:szCs w:val="24"/>
        </w:rPr>
      </w:r>
    </w:p>
    <w:p>
      <w:pPr>
        <w:pStyle w:val="Normal"/>
        <w:spacing w:lineRule="auto" w:line="240" w:before="0" w:after="0"/>
        <w:jc w:val="both"/>
        <w:rPr>
          <w:rFonts w:ascii="Arial" w:hAnsi="Arial" w:cs="Arial"/>
          <w:b/>
          <w:b/>
          <w:color w:val="000000" w:themeColor="text1"/>
          <w:sz w:val="24"/>
          <w:szCs w:val="24"/>
        </w:rPr>
      </w:pPr>
      <w:r>
        <w:rPr>
          <w:rFonts w:cs="Arial" w:ascii="Arial" w:hAnsi="Arial"/>
          <w:b/>
          <w:color w:val="000000" w:themeColor="text1"/>
          <w:sz w:val="24"/>
          <w:szCs w:val="24"/>
        </w:rPr>
        <w:t>Manifiesta lo siguiente:</w:t>
      </w:r>
    </w:p>
    <w:p>
      <w:pPr>
        <w:pStyle w:val="ListParagraph"/>
        <w:numPr>
          <w:ilvl w:val="0"/>
          <w:numId w:val="2"/>
        </w:numPr>
        <w:spacing w:lineRule="auto" w:line="240" w:before="0" w:after="0"/>
        <w:jc w:val="both"/>
        <w:rPr>
          <w:rFonts w:ascii="Arial" w:hAnsi="Arial" w:cs="Arial"/>
          <w:color w:val="000000" w:themeColor="text1"/>
          <w:sz w:val="24"/>
          <w:szCs w:val="24"/>
        </w:rPr>
      </w:pPr>
      <w:r>
        <w:rPr>
          <w:rFonts w:cs="Arial" w:ascii="Arial" w:hAnsi="Arial"/>
          <w:color w:val="000000" w:themeColor="text1"/>
          <w:sz w:val="24"/>
          <w:szCs w:val="24"/>
        </w:rPr>
        <w:t>La canasta básica debe representar lo que el país necesita, de una forma integral y no debe limitarse únicamente a aspectos de consumo.</w:t>
      </w:r>
    </w:p>
    <w:p>
      <w:pPr>
        <w:pStyle w:val="ListParagraph"/>
        <w:numPr>
          <w:ilvl w:val="0"/>
          <w:numId w:val="2"/>
        </w:numPr>
        <w:spacing w:lineRule="auto" w:line="240" w:before="0" w:after="0"/>
        <w:jc w:val="both"/>
        <w:rPr>
          <w:rFonts w:ascii="Arial" w:hAnsi="Arial" w:cs="Arial"/>
          <w:color w:val="000000" w:themeColor="text1"/>
          <w:sz w:val="24"/>
          <w:szCs w:val="24"/>
        </w:rPr>
      </w:pPr>
      <w:r>
        <w:rPr>
          <w:rFonts w:cs="Arial" w:ascii="Arial" w:hAnsi="Arial"/>
          <w:color w:val="000000" w:themeColor="text1"/>
          <w:sz w:val="24"/>
          <w:szCs w:val="24"/>
        </w:rPr>
        <w:t>Apoyamos el criterio de la Escuela de Nutrición de la Universidad de Costa Rica sobre la canasta básica tributaria.</w:t>
      </w:r>
    </w:p>
    <w:p>
      <w:pPr>
        <w:pStyle w:val="Normal"/>
        <w:spacing w:lineRule="auto" w:line="240" w:before="0" w:after="0"/>
        <w:ind w:left="720" w:hanging="0"/>
        <w:rPr>
          <w:rFonts w:ascii="Arial" w:hAnsi="Arial" w:cs="Arial"/>
          <w:color w:val="000000" w:themeColor="text1"/>
          <w:sz w:val="18"/>
          <w:szCs w:val="18"/>
        </w:rPr>
      </w:pPr>
      <w:r>
        <w:rPr>
          <w:rFonts w:cs="Arial" w:ascii="Arial" w:hAnsi="Arial"/>
          <w:color w:val="000000" w:themeColor="text1"/>
          <w:sz w:val="18"/>
          <w:szCs w:val="18"/>
        </w:rPr>
        <w:t>Pág. -2-</w:t>
      </w:r>
    </w:p>
    <w:p>
      <w:pPr>
        <w:pStyle w:val="Normal"/>
        <w:spacing w:lineRule="auto" w:line="240"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lineRule="auto" w:line="240"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ListParagraph"/>
        <w:numPr>
          <w:ilvl w:val="0"/>
          <w:numId w:val="2"/>
        </w:numPr>
        <w:spacing w:lineRule="auto" w:line="240" w:before="0" w:after="0"/>
        <w:jc w:val="both"/>
        <w:rPr>
          <w:rFonts w:ascii="Arial" w:hAnsi="Arial" w:cs="Arial"/>
          <w:color w:val="000000" w:themeColor="text1"/>
          <w:sz w:val="24"/>
          <w:szCs w:val="24"/>
        </w:rPr>
      </w:pPr>
      <w:r>
        <w:rPr>
          <w:rFonts w:cs="Arial" w:ascii="Arial" w:hAnsi="Arial"/>
          <w:color w:val="000000" w:themeColor="text1"/>
          <w:sz w:val="24"/>
          <w:szCs w:val="24"/>
        </w:rPr>
        <w:t>Respaldamos al Ministerio de Salud para incorporar la variable nutricional.</w:t>
      </w:r>
    </w:p>
    <w:p>
      <w:pPr>
        <w:pStyle w:val="ListParagraph"/>
        <w:numPr>
          <w:ilvl w:val="0"/>
          <w:numId w:val="2"/>
        </w:numPr>
        <w:spacing w:lineRule="auto" w:line="240" w:before="0" w:after="0"/>
        <w:jc w:val="both"/>
        <w:rPr>
          <w:rFonts w:ascii="Arial" w:hAnsi="Arial" w:cs="Arial"/>
          <w:color w:val="000000" w:themeColor="text1"/>
          <w:sz w:val="24"/>
          <w:szCs w:val="24"/>
        </w:rPr>
      </w:pPr>
      <w:r>
        <w:rPr>
          <w:rFonts w:cs="Arial" w:ascii="Arial" w:hAnsi="Arial"/>
          <w:color w:val="000000" w:themeColor="text1"/>
          <w:sz w:val="24"/>
          <w:szCs w:val="24"/>
        </w:rPr>
        <w:t>Respaldamos la solicitud por parte del Ministerio de Agricultura y Ganadería, sobre la definición de los productos incluidos.</w:t>
      </w:r>
    </w:p>
    <w:p>
      <w:pPr>
        <w:pStyle w:val="ListParagraph"/>
        <w:numPr>
          <w:ilvl w:val="0"/>
          <w:numId w:val="2"/>
        </w:numPr>
        <w:spacing w:lineRule="auto" w:line="240" w:before="0" w:after="0"/>
        <w:jc w:val="both"/>
        <w:rPr>
          <w:rFonts w:ascii="Arial" w:hAnsi="Arial" w:cs="Arial"/>
          <w:color w:val="000000" w:themeColor="text1"/>
          <w:sz w:val="24"/>
          <w:szCs w:val="24"/>
        </w:rPr>
      </w:pPr>
      <w:r>
        <w:rPr>
          <w:rFonts w:cs="Arial" w:ascii="Arial" w:hAnsi="Arial"/>
          <w:color w:val="000000" w:themeColor="text1"/>
          <w:sz w:val="24"/>
          <w:szCs w:val="24"/>
        </w:rPr>
        <w:t xml:space="preserve"> </w:t>
      </w:r>
      <w:r>
        <w:rPr>
          <w:rFonts w:cs="Arial" w:ascii="Arial" w:hAnsi="Arial"/>
          <w:color w:val="000000" w:themeColor="text1"/>
          <w:sz w:val="24"/>
          <w:szCs w:val="24"/>
        </w:rPr>
        <w:t xml:space="preserve">El análisis debería de basarse no solo en criterios de estadísticas de consumo, sino principalmente en el bienestar de la sociedad costarricense.  </w:t>
      </w:r>
    </w:p>
    <w:p>
      <w:pPr>
        <w:pStyle w:val="Normal"/>
        <w:spacing w:lineRule="auto" w:line="240" w:before="0" w:after="0"/>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lineRule="auto" w:line="240" w:before="0" w:after="0"/>
        <w:jc w:val="both"/>
        <w:rPr>
          <w:rFonts w:ascii="Arial" w:hAnsi="Arial" w:cs="Arial"/>
          <w:b/>
          <w:b/>
          <w:color w:val="000000" w:themeColor="text1"/>
          <w:sz w:val="24"/>
          <w:szCs w:val="24"/>
        </w:rPr>
      </w:pPr>
      <w:r>
        <w:rPr>
          <w:rFonts w:cs="Arial" w:ascii="Arial" w:hAnsi="Arial"/>
          <w:b/>
          <w:color w:val="000000" w:themeColor="text1"/>
          <w:sz w:val="24"/>
          <w:szCs w:val="24"/>
        </w:rPr>
      </w:r>
    </w:p>
    <w:p>
      <w:pPr>
        <w:pStyle w:val="Normal"/>
        <w:spacing w:lineRule="auto" w:line="240" w:before="0" w:after="0"/>
        <w:jc w:val="both"/>
        <w:rPr>
          <w:rFonts w:ascii="Arial" w:hAnsi="Arial" w:cs="Arial"/>
          <w:b/>
          <w:b/>
          <w:color w:val="000000" w:themeColor="text1"/>
          <w:sz w:val="28"/>
          <w:szCs w:val="28"/>
        </w:rPr>
      </w:pPr>
      <w:r>
        <w:rPr>
          <w:rFonts w:cs="Arial" w:ascii="Arial" w:hAnsi="Arial"/>
          <w:b/>
          <w:color w:val="000000" w:themeColor="text1"/>
          <w:sz w:val="28"/>
          <w:szCs w:val="28"/>
        </w:rPr>
        <w:t>Acuerdo por unanimidad y en firme.</w:t>
      </w:r>
    </w:p>
    <w:p>
      <w:pPr>
        <w:pStyle w:val="Normal"/>
        <w:spacing w:lineRule="auto" w:line="240" w:before="0" w:after="0"/>
        <w:rPr>
          <w:rFonts w:ascii="Arial" w:hAnsi="Arial" w:cs="Arial"/>
          <w:color w:val="000000" w:themeColor="text1"/>
          <w:sz w:val="24"/>
          <w:szCs w:val="24"/>
        </w:rPr>
      </w:pPr>
      <w:r>
        <w:rPr>
          <w:rFonts w:cs="Arial" w:ascii="Arial" w:hAnsi="Arial"/>
          <w:color w:val="000000" w:themeColor="text1"/>
          <w:sz w:val="24"/>
          <w:szCs w:val="24"/>
        </w:rPr>
      </w:r>
    </w:p>
    <w:p>
      <w:pPr>
        <w:pStyle w:val="Normal"/>
        <w:spacing w:lineRule="auto" w:line="240" w:before="0" w:after="0"/>
        <w:rPr>
          <w:rFonts w:ascii="Arial" w:hAnsi="Arial" w:cs="Arial"/>
          <w:color w:val="000000" w:themeColor="text1"/>
          <w:sz w:val="24"/>
          <w:szCs w:val="24"/>
        </w:rPr>
      </w:pPr>
      <w:r>
        <w:rPr>
          <w:rFonts w:cs="Arial" w:ascii="Arial" w:hAnsi="Arial"/>
          <w:color w:val="000000" w:themeColor="text1"/>
          <w:sz w:val="24"/>
          <w:szCs w:val="24"/>
        </w:rPr>
      </w:r>
    </w:p>
    <w:p>
      <w:pPr>
        <w:pStyle w:val="Normal"/>
        <w:spacing w:lineRule="auto" w:line="240" w:before="0" w:after="0"/>
        <w:rPr>
          <w:rFonts w:ascii="Arial" w:hAnsi="Arial" w:cs="Arial"/>
          <w:color w:val="000000" w:themeColor="text1"/>
          <w:sz w:val="24"/>
          <w:szCs w:val="24"/>
        </w:rPr>
      </w:pPr>
      <w:r>
        <w:rPr>
          <w:rFonts w:cs="Arial" w:ascii="Arial" w:hAnsi="Arial"/>
          <w:color w:val="000000" w:themeColor="text1"/>
          <w:sz w:val="24"/>
          <w:szCs w:val="24"/>
        </w:rPr>
      </w:r>
    </w:p>
    <w:p>
      <w:pPr>
        <w:pStyle w:val="Normal"/>
        <w:spacing w:lineRule="auto" w:line="240" w:before="0" w:after="0"/>
        <w:rPr>
          <w:rFonts w:ascii="Arial" w:hAnsi="Arial" w:cs="Arial"/>
          <w:color w:val="000000" w:themeColor="text1"/>
          <w:sz w:val="24"/>
          <w:szCs w:val="24"/>
        </w:rPr>
      </w:pPr>
      <w:r>
        <w:rPr>
          <w:rFonts w:cs="Arial" w:ascii="Arial" w:hAnsi="Arial"/>
          <w:color w:val="000000" w:themeColor="text1"/>
          <w:sz w:val="24"/>
          <w:szCs w:val="24"/>
        </w:rPr>
      </w:r>
    </w:p>
    <w:p>
      <w:pPr>
        <w:pStyle w:val="Normal"/>
        <w:spacing w:lineRule="auto" w:line="240" w:before="0" w:after="0"/>
        <w:jc w:val="center"/>
        <w:rPr>
          <w:rFonts w:ascii="Arial" w:hAnsi="Arial" w:cs="Arial"/>
          <w:color w:val="000000" w:themeColor="text1"/>
          <w:sz w:val="24"/>
          <w:szCs w:val="24"/>
        </w:rPr>
      </w:pPr>
      <w:r>
        <w:rPr>
          <w:rFonts w:cs="Arial" w:ascii="Arial" w:hAnsi="Arial"/>
          <w:color w:val="000000" w:themeColor="text1"/>
          <w:sz w:val="24"/>
          <w:szCs w:val="24"/>
        </w:rPr>
      </w:r>
    </w:p>
    <w:p>
      <w:pPr>
        <w:pStyle w:val="Normal"/>
        <w:spacing w:lineRule="auto" w:line="240" w:before="0" w:after="0"/>
        <w:jc w:val="center"/>
        <w:rPr>
          <w:rFonts w:ascii="Arial" w:hAnsi="Arial" w:cs="Arial"/>
          <w:color w:val="000000" w:themeColor="text1"/>
          <w:sz w:val="24"/>
          <w:szCs w:val="24"/>
        </w:rPr>
      </w:pPr>
      <w:r>
        <w:rPr>
          <w:rFonts w:cs="Arial" w:ascii="Arial" w:hAnsi="Arial"/>
          <w:color w:val="000000" w:themeColor="text1"/>
          <w:sz w:val="24"/>
          <w:szCs w:val="24"/>
        </w:rPr>
        <w:t>Dr. Luis Felipe Arauz Cavallini</w:t>
      </w:r>
    </w:p>
    <w:p>
      <w:pPr>
        <w:pStyle w:val="Normal"/>
        <w:spacing w:lineRule="auto" w:line="240" w:before="0" w:after="0"/>
        <w:jc w:val="center"/>
        <w:rPr/>
      </w:pPr>
      <w:r>
        <w:rPr>
          <w:rFonts w:cs="Arial" w:ascii="Arial" w:hAnsi="Arial"/>
          <w:b/>
          <w:color w:val="000000" w:themeColor="text1"/>
          <w:sz w:val="24"/>
          <w:szCs w:val="24"/>
        </w:rPr>
        <w:t>Decano</w:t>
      </w:r>
    </w:p>
    <w:sectPr>
      <w:headerReference w:type="default" r:id="rId2"/>
      <w:footerReference w:type="default" r:id="rId3"/>
      <w:type w:val="nextPage"/>
      <w:pgSz w:w="12240" w:h="15840"/>
      <w:pgMar w:left="1701" w:right="1701"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sz w:val="8"/>
        <w:szCs w:val="8"/>
      </w:rPr>
    </w:pPr>
    <w:r>
      <w:rPr>
        <w:sz w:val="8"/>
        <w:szCs w:val="8"/>
      </w:rPr>
    </w:r>
  </w:p>
  <w:p>
    <w:pPr>
      <w:pStyle w:val="Piedepgina"/>
      <w:jc w:val="center"/>
      <w:rPr>
        <w:rFonts w:ascii="Arial" w:hAnsi="Arial" w:cs="Arial"/>
        <w:sz w:val="20"/>
        <w:szCs w:val="20"/>
      </w:rPr>
    </w:pPr>
    <w:r>
      <mc:AlternateContent>
        <mc:Choice Requires="wps">
          <w:drawing>
            <wp:anchor behindDoc="1" distT="0" distB="0" distL="114300" distR="114300" simplePos="0" locked="0" layoutInCell="1" allowOverlap="1" relativeHeight="7">
              <wp:simplePos x="0" y="0"/>
              <wp:positionH relativeFrom="column">
                <wp:posOffset>1270</wp:posOffset>
              </wp:positionH>
              <wp:positionV relativeFrom="paragraph">
                <wp:posOffset>55880</wp:posOffset>
              </wp:positionV>
              <wp:extent cx="3931285" cy="1270"/>
              <wp:effectExtent l="0" t="0" r="0" b="0"/>
              <wp:wrapNone/>
              <wp:docPr id="3" name="Conector recto 10"/>
              <a:graphic xmlns:a="http://schemas.openxmlformats.org/drawingml/2006/main">
                <a:graphicData uri="http://schemas.microsoft.com/office/word/2010/wordprocessingShape">
                  <wps:wsp>
                    <wps:cNvSpPr/>
                    <wps:spPr>
                      <a:xfrm>
                        <a:off x="0" y="0"/>
                        <a:ext cx="5601240" cy="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0.1pt,4.4pt" to="441.1pt,4.4pt" ID="Conector recto 10" stroked="t" style="position:absolute">
              <v:stroke color="black" joinstyle="round" endcap="flat"/>
              <v:fill o:detectmouseclick="t" on="false"/>
            </v:line>
          </w:pict>
        </mc:Fallback>
      </mc:AlternateContent>
    </w:r>
    <w:r>
      <w:rPr>
        <w:sz w:val="8"/>
        <w:szCs w:val="8"/>
      </w:rPr>
      <w:br/>
    </w:r>
    <w:sdt>
      <w:sdtPr>
        <w:alias w:val="Pie"/>
      </w:sdtPr>
      <w:sdtContent>
        <w:r>
          <w:rPr>
            <w:rFonts w:eastAsia="" w:cs="Arial" w:ascii="Arial" w:hAnsi="Arial" w:eastAsiaTheme="minorEastAsia"/>
            <w:bCs/>
            <w:sz w:val="20"/>
            <w:szCs w:val="20"/>
            <w:lang w:val="en-US" w:eastAsia="ja-JP"/>
          </w:rPr>
          <w:t>Teléfono:</w:t>
        </w:r>
        <w:r>
          <w:rPr>
            <w:rFonts w:eastAsia="" w:cs="Arial" w:ascii="Arial" w:hAnsi="Arial" w:eastAsiaTheme="minorEastAsia"/>
            <w:bCs/>
            <w:sz w:val="20"/>
            <w:szCs w:val="20"/>
            <w:lang w:val="en-US" w:eastAsia="ja-JP"/>
          </w:rPr>
          <w:t xml:space="preserve"> 2511-8735 </w:t>
        </w:r>
        <w:r>
          <w:rPr>
            <w:rFonts w:eastAsia="Times New Roman" w:cs="Times New Roman"/>
            <w:lang w:eastAsia="es-CR"/>
          </w:rPr>
          <w:t>|</w:t>
        </w:r>
        <w:r>
          <w:rPr>
            <w:rFonts w:eastAsia="" w:cs="Arial" w:ascii="Arial" w:hAnsi="Arial" w:eastAsiaTheme="minorEastAsia"/>
            <w:bCs/>
            <w:sz w:val="20"/>
            <w:szCs w:val="20"/>
            <w:lang w:val="en-US" w:eastAsia="ja-JP"/>
          </w:rPr>
          <w:t xml:space="preserve"> Fax: 2225-9694 http://www.agro.ucr.ac.cr</w:t>
        </w:r>
        <w:r>
          <w:rPr>
            <w:rFonts w:eastAsia="Times New Roman" w:cs="Times New Roman"/>
          </w:rPr>
          <w:t xml:space="preserve"> |</w:t>
        </w:r>
        <w:r>
          <w:rPr>
            <w:rFonts w:eastAsia="" w:cs="Arial" w:ascii="Arial" w:hAnsi="Arial" w:eastAsiaTheme="minorEastAsia"/>
            <w:bCs/>
            <w:sz w:val="20"/>
            <w:szCs w:val="20"/>
            <w:lang w:val="en-US" w:eastAsia="ja-JP"/>
          </w:rPr>
          <w:t xml:space="preserve"> agroalimentarias@ucr.ac.cr</w:t>
        </w:r>
      </w:sdtContent>
    </w:sdt>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right"/>
      <w:rPr/>
    </w:pPr>
    <w:r>
      <w:rPr/>
      <w:drawing>
        <wp:anchor behindDoc="1" distT="0" distB="0" distL="133350" distR="123190" simplePos="0" locked="0" layoutInCell="1" allowOverlap="1" relativeHeight="3">
          <wp:simplePos x="0" y="0"/>
          <wp:positionH relativeFrom="column">
            <wp:posOffset>3552825</wp:posOffset>
          </wp:positionH>
          <wp:positionV relativeFrom="paragraph">
            <wp:posOffset>-34925</wp:posOffset>
          </wp:positionV>
          <wp:extent cx="2352675" cy="648335"/>
          <wp:effectExtent l="0" t="0" r="0" b="0"/>
          <wp:wrapSquare wrapText="bothSides"/>
          <wp:docPr id="1" name="Imagen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4" descr=""/>
                  <pic:cNvPicPr>
                    <a:picLocks noChangeAspect="1" noChangeArrowheads="1"/>
                  </pic:cNvPicPr>
                </pic:nvPicPr>
                <pic:blipFill>
                  <a:blip r:embed="rId1"/>
                  <a:stretch>
                    <a:fillRect/>
                  </a:stretch>
                </pic:blipFill>
                <pic:spPr bwMode="auto">
                  <a:xfrm>
                    <a:off x="0" y="0"/>
                    <a:ext cx="2352675" cy="648335"/>
                  </a:xfrm>
                  <a:prstGeom prst="rect">
                    <a:avLst/>
                  </a:prstGeom>
                </pic:spPr>
              </pic:pic>
            </a:graphicData>
          </a:graphic>
        </wp:anchor>
      </w:drawing>
      <w:drawing>
        <wp:anchor behindDoc="1" distT="0" distB="0" distL="133350" distR="114300" simplePos="0" locked="0" layoutInCell="1" allowOverlap="1" relativeHeight="5">
          <wp:simplePos x="0" y="0"/>
          <wp:positionH relativeFrom="column">
            <wp:posOffset>-668020</wp:posOffset>
          </wp:positionH>
          <wp:positionV relativeFrom="paragraph">
            <wp:posOffset>-56515</wp:posOffset>
          </wp:positionV>
          <wp:extent cx="1756410" cy="669290"/>
          <wp:effectExtent l="0" t="0" r="0" b="0"/>
          <wp:wrapSquare wrapText="bothSides"/>
          <wp:docPr id="2" name="Imagen 1" descr="Firma gráfica Universidad de Costa 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Firma gráfica Universidad de Costa Rica"/>
                  <pic:cNvPicPr>
                    <a:picLocks noChangeAspect="1" noChangeArrowheads="1"/>
                  </pic:cNvPicPr>
                </pic:nvPicPr>
                <pic:blipFill>
                  <a:blip r:embed="rId2"/>
                  <a:srcRect l="11580" t="21876" r="11580" b="21876"/>
                  <a:stretch>
                    <a:fillRect/>
                  </a:stretch>
                </pic:blipFill>
                <pic:spPr bwMode="auto">
                  <a:xfrm>
                    <a:off x="0" y="0"/>
                    <a:ext cx="1756410" cy="669290"/>
                  </a:xfrm>
                  <a:prstGeom prst="rect">
                    <a:avLst/>
                  </a:prstGeom>
                </pic:spPr>
              </pic:pic>
            </a:graphicData>
          </a:graphic>
        </wp:anchor>
      </w:drawing>
    </w:r>
  </w:p>
  <w:p>
    <w:pPr>
      <w:pStyle w:val="Cabecera"/>
      <w:jc w:val="right"/>
      <w:rPr/>
    </w:pPr>
    <w:r>
      <w:rPr/>
    </w:r>
  </w:p>
  <w:p>
    <w:pPr>
      <w:pStyle w:val="Cabecera"/>
      <w:jc w:val="right"/>
      <w:rPr/>
    </w:pPr>
    <w:r>
      <w:rPr/>
    </w:r>
  </w:p>
  <w:p>
    <w:pPr>
      <w:pStyle w:val="Cabecera"/>
      <w:rPr/>
    </w:pP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trackRevisions/>
  <w:defaultTabStop w:val="708"/>
  <w:compat/>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C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f0034"/>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s-CR"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3f0034"/>
    <w:rPr>
      <w:color w:val="808080"/>
    </w:rPr>
  </w:style>
  <w:style w:type="character" w:styleId="TextodegloboCar" w:customStyle="1">
    <w:name w:val="Texto de globo Car"/>
    <w:basedOn w:val="DefaultParagraphFont"/>
    <w:link w:val="Textodeglobo"/>
    <w:uiPriority w:val="99"/>
    <w:semiHidden/>
    <w:qFormat/>
    <w:rsid w:val="003f0034"/>
    <w:rPr>
      <w:rFonts w:ascii="Tahoma" w:hAnsi="Tahoma" w:cs="Tahoma"/>
      <w:sz w:val="16"/>
      <w:szCs w:val="16"/>
    </w:rPr>
  </w:style>
  <w:style w:type="character" w:styleId="EncabezadoCar" w:customStyle="1">
    <w:name w:val="Encabezado Car"/>
    <w:basedOn w:val="DefaultParagraphFont"/>
    <w:link w:val="Encabezado"/>
    <w:uiPriority w:val="99"/>
    <w:qFormat/>
    <w:rsid w:val="003f0034"/>
    <w:rPr/>
  </w:style>
  <w:style w:type="character" w:styleId="PiedepginaCar" w:customStyle="1">
    <w:name w:val="Pie de página Car"/>
    <w:basedOn w:val="DefaultParagraphFont"/>
    <w:link w:val="Piedepgina"/>
    <w:uiPriority w:val="99"/>
    <w:qFormat/>
    <w:rsid w:val="003f0034"/>
    <w:rPr/>
  </w:style>
  <w:style w:type="character" w:styleId="Annotationreference">
    <w:name w:val="annotation reference"/>
    <w:basedOn w:val="DefaultParagraphFont"/>
    <w:uiPriority w:val="99"/>
    <w:semiHidden/>
    <w:unhideWhenUsed/>
    <w:qFormat/>
    <w:rsid w:val="00a81c5d"/>
    <w:rPr>
      <w:sz w:val="16"/>
      <w:szCs w:val="16"/>
    </w:rPr>
  </w:style>
  <w:style w:type="character" w:styleId="TextocomentarioCar" w:customStyle="1">
    <w:name w:val="Texto comentario Car"/>
    <w:basedOn w:val="DefaultParagraphFont"/>
    <w:link w:val="Textocomentario"/>
    <w:uiPriority w:val="99"/>
    <w:semiHidden/>
    <w:qFormat/>
    <w:rsid w:val="00a81c5d"/>
    <w:rPr>
      <w:sz w:val="20"/>
      <w:szCs w:val="20"/>
    </w:rPr>
  </w:style>
  <w:style w:type="character" w:styleId="AsuntodelcomentarioCar" w:customStyle="1">
    <w:name w:val="Asunto del comentario Car"/>
    <w:basedOn w:val="TextocomentarioCar"/>
    <w:link w:val="Asuntodelcomentario"/>
    <w:uiPriority w:val="99"/>
    <w:semiHidden/>
    <w:qFormat/>
    <w:rsid w:val="00a81c5d"/>
    <w:rPr>
      <w:b/>
      <w:bCs/>
    </w:rPr>
  </w:style>
  <w:style w:type="paragraph" w:styleId="Ttulo">
    <w:name w:val="Título"/>
    <w:basedOn w:val="Normal"/>
    <w:next w:val="Cuerpodetexto"/>
    <w:qFormat/>
    <w:pPr>
      <w:keepNext/>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BalloonText">
    <w:name w:val="Balloon Text"/>
    <w:basedOn w:val="Normal"/>
    <w:link w:val="TextodegloboCar"/>
    <w:uiPriority w:val="99"/>
    <w:semiHidden/>
    <w:unhideWhenUsed/>
    <w:qFormat/>
    <w:rsid w:val="003f0034"/>
    <w:pPr>
      <w:spacing w:lineRule="auto" w:line="240" w:before="0" w:after="0"/>
    </w:pPr>
    <w:rPr>
      <w:rFonts w:ascii="Tahoma" w:hAnsi="Tahoma" w:cs="Tahoma"/>
      <w:sz w:val="16"/>
      <w:szCs w:val="16"/>
    </w:rPr>
  </w:style>
  <w:style w:type="paragraph" w:styleId="Cabecera">
    <w:name w:val="Header"/>
    <w:basedOn w:val="Normal"/>
    <w:link w:val="EncabezadoCar"/>
    <w:uiPriority w:val="99"/>
    <w:unhideWhenUsed/>
    <w:rsid w:val="003f0034"/>
    <w:pPr>
      <w:tabs>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3f0034"/>
    <w:pPr>
      <w:tabs>
        <w:tab w:val="center" w:pos="4419" w:leader="none"/>
        <w:tab w:val="right" w:pos="8838" w:leader="none"/>
      </w:tabs>
      <w:spacing w:lineRule="auto" w:line="240" w:before="0" w:after="0"/>
    </w:pPr>
    <w:rPr/>
  </w:style>
  <w:style w:type="paragraph" w:styleId="ListParagraph">
    <w:name w:val="List Paragraph"/>
    <w:basedOn w:val="Normal"/>
    <w:uiPriority w:val="34"/>
    <w:qFormat/>
    <w:rsid w:val="009937b2"/>
    <w:pPr>
      <w:spacing w:before="0" w:after="200"/>
      <w:ind w:left="720" w:hanging="0"/>
      <w:contextualSpacing/>
    </w:pPr>
    <w:rPr/>
  </w:style>
  <w:style w:type="paragraph" w:styleId="Annotationtext">
    <w:name w:val="annotation text"/>
    <w:basedOn w:val="Normal"/>
    <w:link w:val="TextocomentarioCar"/>
    <w:uiPriority w:val="99"/>
    <w:semiHidden/>
    <w:unhideWhenUsed/>
    <w:qFormat/>
    <w:rsid w:val="00a81c5d"/>
    <w:pPr>
      <w:spacing w:lineRule="auto" w:line="240"/>
    </w:pPr>
    <w:rPr>
      <w:sz w:val="20"/>
      <w:szCs w:val="20"/>
    </w:rPr>
  </w:style>
  <w:style w:type="paragraph" w:styleId="Annotationsubject">
    <w:name w:val="annotation subject"/>
    <w:basedOn w:val="Annotationtext"/>
    <w:link w:val="AsuntodelcomentarioCar"/>
    <w:uiPriority w:val="99"/>
    <w:semiHidden/>
    <w:unhideWhenUsed/>
    <w:qFormat/>
    <w:rsid w:val="00a81c5d"/>
    <w:pPr/>
    <w:rPr>
      <w:b/>
      <w:bCs/>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001EE-E587-4742-968A-0175F7CF3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Oficio FCA 2018</Template>
  <TotalTime>11</TotalTime>
  <Application>LibreOffice/5.2.1.2$Windows_X86_64 LibreOffice_project/31dd62db80d4e60af04904455ec9c9219178d620</Application>
  <Pages>2</Pages>
  <Words>440</Words>
  <Characters>2444</Characters>
  <CharactersWithSpaces>2867</CharactersWithSpaces>
  <Paragraphs>20</Paragraphs>
  <Company>Universidad de Costa Rica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2019-04-12T19:52:00Z</dcterms:created>
  <dc:creator>Decanato-Recepcion</dc:creator>
  <dc:description/>
  <dc:language>es-CR</dc:language>
  <cp:lastModifiedBy>Estefani Jiménez</cp:lastModifiedBy>
  <cp:lastPrinted>2019-04-12T20:20:00Z</cp:lastPrinted>
  <dcterms:modified xsi:type="dcterms:W3CDTF">2019-04-12T20:25:00Z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Universidad de Costa Rica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