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Objetivo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Analizar las prácticas dominantes y cambios en las tendencias de la enseñanza del inglés, dentro del marco de las necesidades y políticas nacionales y regionales a las que responde la docencia, con el fin de generar una visión clara de las prácticas emergentes en la disciplina y los alcances de su aplicación.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Áreas temáticas: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Metodología de la enseñanza de idiomas.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Lingüística aplicada e implicaciones pedagógicas.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Nuevas políticas en el aprendizaje de idiomas a nivel nacional e internacional.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TIC: aplicaciones y retos.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Interculturalidad y multiculturalidad en el aprendizaje del inglés.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Evaluación y adecuaciones curriculares en el aprendizaje del inglés.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_tradn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s-E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en-U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51dc5"/>
    <w:rPr>
      <w:rFonts w:ascii="Lucida Grande" w:hAnsi="Lucida Grande" w:cs="Lucida Grande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51dc5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dc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LibreOffice/5.2.1.2$Windows_X86_64 LibreOffice_project/31dd62db80d4e60af04904455ec9c9219178d620</Application>
  <Pages>1</Pages>
  <Words>105</Words>
  <Characters>578</Characters>
  <CharactersWithSpaces>669</CharactersWithSpaces>
  <Paragraphs>9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2019-03-18T16:22:00Z</dcterms:created>
  <dc:creator>Cidicer Sede de Occidente</dc:creator>
  <dc:description/>
  <dc:language>es-CR</dc:language>
  <cp:lastModifiedBy>Cidicer Sede de Occidente</cp:lastModifiedBy>
  <dcterms:modified xsi:type="dcterms:W3CDTF">2019-03-18T17:18:00Z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