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F0" w:rsidRPr="00E63BF0" w:rsidRDefault="00E63BF0" w:rsidP="00E63BF0">
      <w:pPr>
        <w:pStyle w:val="Ttulo2"/>
        <w:jc w:val="center"/>
        <w:rPr>
          <w:rFonts w:eastAsia="Times New Roman"/>
          <w:b/>
          <w:i/>
          <w:lang w:eastAsia="es-ES"/>
        </w:rPr>
      </w:pPr>
      <w:r w:rsidRPr="00E63BF0">
        <w:rPr>
          <w:rFonts w:eastAsia="Times New Roman"/>
          <w:b/>
          <w:i/>
          <w:lang w:eastAsia="es-ES"/>
        </w:rPr>
        <w:t>DIAGNÓSTICO EN MATEMÁTICA</w:t>
      </w:r>
    </w:p>
    <w:p w:rsidR="00E63BF0" w:rsidRPr="00E63BF0" w:rsidRDefault="00E63BF0" w:rsidP="00E63BF0">
      <w:pPr>
        <w:pStyle w:val="Ttulo2"/>
        <w:jc w:val="center"/>
        <w:rPr>
          <w:rFonts w:eastAsia="Times New Roman"/>
          <w:b/>
          <w:i/>
          <w:lang w:eastAsia="es-ES"/>
        </w:rPr>
      </w:pPr>
      <w:r w:rsidRPr="00E63BF0">
        <w:rPr>
          <w:rFonts w:eastAsia="Times New Roman"/>
          <w:b/>
          <w:i/>
          <w:lang w:eastAsia="es-ES"/>
        </w:rPr>
        <w:t>(</w:t>
      </w:r>
      <w:proofErr w:type="spellStart"/>
      <w:r w:rsidRPr="00E63BF0">
        <w:rPr>
          <w:rFonts w:eastAsia="Times New Roman"/>
          <w:b/>
          <w:i/>
          <w:lang w:eastAsia="es-ES"/>
        </w:rPr>
        <w:t>DiMa</w:t>
      </w:r>
      <w:proofErr w:type="spellEnd"/>
      <w:r w:rsidRPr="00E63BF0">
        <w:rPr>
          <w:rFonts w:eastAsia="Times New Roman"/>
          <w:b/>
          <w:i/>
          <w:lang w:eastAsia="es-ES"/>
        </w:rPr>
        <w:t xml:space="preserve"> 2019)</w:t>
      </w:r>
    </w:p>
    <w:p w:rsidR="00E63BF0" w:rsidRPr="00E63BF0" w:rsidRDefault="00E63BF0" w:rsidP="00A62A36">
      <w:pPr>
        <w:shd w:val="clear" w:color="auto" w:fill="FFFFFF"/>
        <w:spacing w:before="100" w:beforeAutospacing="1" w:after="100" w:afterAutospacing="1" w:line="240" w:lineRule="auto"/>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color w:val="500050"/>
          <w:sz w:val="24"/>
          <w:szCs w:val="24"/>
          <w:lang w:eastAsia="es-ES"/>
        </w:rPr>
        <w:t>Para estudiantes de nuevo ingreso 2019 a la UCR y estudiantes regulares (carné B8 y anteriores) que</w:t>
      </w:r>
      <w:r w:rsidR="00A62A36">
        <w:rPr>
          <w:rFonts w:ascii="Trebuchet MS" w:eastAsia="Times New Roman" w:hAnsi="Trebuchet MS" w:cs="Times New Roman"/>
          <w:color w:val="500050"/>
          <w:sz w:val="24"/>
          <w:szCs w:val="24"/>
          <w:lang w:eastAsia="es-ES"/>
        </w:rPr>
        <w:t xml:space="preserve"> t</w:t>
      </w:r>
      <w:r w:rsidRPr="00E63BF0">
        <w:rPr>
          <w:rFonts w:ascii="Trebuchet MS" w:eastAsia="Times New Roman" w:hAnsi="Trebuchet MS" w:cs="Times New Roman"/>
          <w:color w:val="500050"/>
          <w:sz w:val="24"/>
          <w:szCs w:val="24"/>
          <w:lang w:eastAsia="es-ES"/>
        </w:rPr>
        <w:t>engan intención de ingresar a alguna de las carreras indicadas deben, </w:t>
      </w:r>
      <w:r w:rsidRPr="00E63BF0">
        <w:rPr>
          <w:rFonts w:ascii="Trebuchet MS" w:eastAsia="Times New Roman" w:hAnsi="Trebuchet MS" w:cs="Times New Roman"/>
          <w:b/>
          <w:bCs/>
          <w:color w:val="500050"/>
          <w:sz w:val="24"/>
          <w:szCs w:val="24"/>
          <w:lang w:eastAsia="es-ES"/>
        </w:rPr>
        <w:t>obligatoriamente, </w:t>
      </w:r>
      <w:r w:rsidRPr="00E63BF0">
        <w:rPr>
          <w:rFonts w:ascii="Trebuchet MS" w:eastAsia="Times New Roman" w:hAnsi="Trebuchet MS" w:cs="Times New Roman"/>
          <w:color w:val="500050"/>
          <w:sz w:val="24"/>
          <w:szCs w:val="24"/>
          <w:lang w:eastAsia="es-ES"/>
        </w:rPr>
        <w:t xml:space="preserve">realizar el </w:t>
      </w:r>
      <w:proofErr w:type="spellStart"/>
      <w:r w:rsidRPr="00E63BF0">
        <w:rPr>
          <w:rFonts w:ascii="Trebuchet MS" w:eastAsia="Times New Roman" w:hAnsi="Trebuchet MS" w:cs="Times New Roman"/>
          <w:color w:val="500050"/>
          <w:sz w:val="24"/>
          <w:szCs w:val="24"/>
          <w:lang w:eastAsia="es-ES"/>
        </w:rPr>
        <w:t>DiMa</w:t>
      </w:r>
      <w:proofErr w:type="spellEnd"/>
      <w:r w:rsidRPr="00E63BF0">
        <w:rPr>
          <w:rFonts w:ascii="Trebuchet MS" w:eastAsia="Times New Roman" w:hAnsi="Trebuchet MS" w:cs="Times New Roman"/>
          <w:color w:val="500050"/>
          <w:sz w:val="24"/>
          <w:szCs w:val="24"/>
          <w:lang w:eastAsia="es-ES"/>
        </w:rPr>
        <w:t>, según resolución de la Vicerrectoría de Docencia VD-R-10497-2018:</w:t>
      </w:r>
    </w:p>
    <w:p w:rsidR="00E63BF0" w:rsidRPr="00E63BF0" w:rsidRDefault="00E63BF0" w:rsidP="00E63BF0">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b/>
          <w:bCs/>
          <w:color w:val="500050"/>
          <w:sz w:val="24"/>
          <w:szCs w:val="24"/>
          <w:lang w:eastAsia="es-ES"/>
        </w:rPr>
        <w:t>Ingeniería</w:t>
      </w:r>
    </w:p>
    <w:p w:rsidR="00E63BF0" w:rsidRPr="00E63BF0" w:rsidRDefault="00E63BF0" w:rsidP="00E63BF0">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b/>
          <w:bCs/>
          <w:color w:val="500050"/>
          <w:sz w:val="24"/>
          <w:szCs w:val="24"/>
          <w:lang w:eastAsia="es-ES"/>
        </w:rPr>
        <w:t>Ciencias Básicas</w:t>
      </w:r>
      <w:r w:rsidRPr="00E63BF0">
        <w:rPr>
          <w:rFonts w:ascii="Trebuchet MS" w:eastAsia="Times New Roman" w:hAnsi="Trebuchet MS" w:cs="Times New Roman"/>
          <w:color w:val="500050"/>
          <w:sz w:val="24"/>
          <w:szCs w:val="24"/>
          <w:lang w:eastAsia="es-ES"/>
        </w:rPr>
        <w:t xml:space="preserve"> (Matemática, Ciencias Actuariales, Educación Matemática, Física, </w:t>
      </w:r>
      <w:proofErr w:type="spellStart"/>
      <w:r w:rsidRPr="00E63BF0">
        <w:rPr>
          <w:rFonts w:ascii="Trebuchet MS" w:eastAsia="Times New Roman" w:hAnsi="Trebuchet MS" w:cs="Times New Roman"/>
          <w:color w:val="500050"/>
          <w:sz w:val="24"/>
          <w:szCs w:val="24"/>
          <w:lang w:eastAsia="es-ES"/>
        </w:rPr>
        <w:t>Metereología</w:t>
      </w:r>
      <w:proofErr w:type="spellEnd"/>
      <w:r w:rsidRPr="00E63BF0">
        <w:rPr>
          <w:rFonts w:ascii="Trebuchet MS" w:eastAsia="Times New Roman" w:hAnsi="Trebuchet MS" w:cs="Times New Roman"/>
          <w:color w:val="500050"/>
          <w:sz w:val="24"/>
          <w:szCs w:val="24"/>
          <w:lang w:eastAsia="es-ES"/>
        </w:rPr>
        <w:t>, Química, Biología, Geología)</w:t>
      </w:r>
    </w:p>
    <w:p w:rsidR="00E63BF0" w:rsidRPr="00E63BF0" w:rsidRDefault="00E63BF0" w:rsidP="00E63BF0">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b/>
          <w:bCs/>
          <w:color w:val="500050"/>
          <w:sz w:val="24"/>
          <w:szCs w:val="24"/>
          <w:lang w:eastAsia="es-ES"/>
        </w:rPr>
        <w:t>Educación</w:t>
      </w:r>
      <w:r w:rsidRPr="00E63BF0">
        <w:rPr>
          <w:rFonts w:ascii="Trebuchet MS" w:eastAsia="Times New Roman" w:hAnsi="Trebuchet MS" w:cs="Times New Roman"/>
          <w:color w:val="500050"/>
          <w:sz w:val="24"/>
          <w:szCs w:val="24"/>
          <w:lang w:eastAsia="es-ES"/>
        </w:rPr>
        <w:t> (Enseñanza de la Matemática, Enseñanza de las Ciencias Naturales)</w:t>
      </w:r>
    </w:p>
    <w:p w:rsidR="00E63BF0" w:rsidRPr="00E63BF0" w:rsidRDefault="00E63BF0" w:rsidP="00E63BF0">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b/>
          <w:bCs/>
          <w:color w:val="500050"/>
          <w:sz w:val="24"/>
          <w:szCs w:val="24"/>
          <w:lang w:eastAsia="es-ES"/>
        </w:rPr>
        <w:t>Salud</w:t>
      </w:r>
      <w:r w:rsidRPr="00E63BF0">
        <w:rPr>
          <w:rFonts w:ascii="Trebuchet MS" w:eastAsia="Times New Roman" w:hAnsi="Trebuchet MS" w:cs="Times New Roman"/>
          <w:color w:val="500050"/>
          <w:sz w:val="24"/>
          <w:szCs w:val="24"/>
          <w:lang w:eastAsia="es-ES"/>
        </w:rPr>
        <w:t xml:space="preserve"> (Medicina, Farmacia, Microbiología, Nutrición, </w:t>
      </w:r>
      <w:proofErr w:type="spellStart"/>
      <w:r w:rsidRPr="00E63BF0">
        <w:rPr>
          <w:rFonts w:ascii="Trebuchet MS" w:eastAsia="Times New Roman" w:hAnsi="Trebuchet MS" w:cs="Times New Roman"/>
          <w:color w:val="500050"/>
          <w:sz w:val="24"/>
          <w:szCs w:val="24"/>
          <w:lang w:eastAsia="es-ES"/>
        </w:rPr>
        <w:t>Imagenología</w:t>
      </w:r>
      <w:proofErr w:type="spellEnd"/>
      <w:r w:rsidRPr="00E63BF0">
        <w:rPr>
          <w:rFonts w:ascii="Trebuchet MS" w:eastAsia="Times New Roman" w:hAnsi="Trebuchet MS" w:cs="Times New Roman"/>
          <w:color w:val="500050"/>
          <w:sz w:val="24"/>
          <w:szCs w:val="24"/>
          <w:lang w:eastAsia="es-ES"/>
        </w:rPr>
        <w:t xml:space="preserve">, </w:t>
      </w:r>
      <w:proofErr w:type="spellStart"/>
      <w:r w:rsidRPr="00E63BF0">
        <w:rPr>
          <w:rFonts w:ascii="Trebuchet MS" w:eastAsia="Times New Roman" w:hAnsi="Trebuchet MS" w:cs="Times New Roman"/>
          <w:color w:val="500050"/>
          <w:sz w:val="24"/>
          <w:szCs w:val="24"/>
          <w:lang w:eastAsia="es-ES"/>
        </w:rPr>
        <w:t>Ortoprótesis</w:t>
      </w:r>
      <w:proofErr w:type="spellEnd"/>
      <w:r w:rsidRPr="00E63BF0">
        <w:rPr>
          <w:rFonts w:ascii="Trebuchet MS" w:eastAsia="Times New Roman" w:hAnsi="Trebuchet MS" w:cs="Times New Roman"/>
          <w:color w:val="500050"/>
          <w:sz w:val="24"/>
          <w:szCs w:val="24"/>
          <w:lang w:eastAsia="es-ES"/>
        </w:rPr>
        <w:t xml:space="preserve"> y Ortopedia, Salud Ambiental)</w:t>
      </w:r>
    </w:p>
    <w:p w:rsidR="00E63BF0" w:rsidRPr="00E63BF0" w:rsidRDefault="00E63BF0" w:rsidP="00E63BF0">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b/>
          <w:bCs/>
          <w:color w:val="500050"/>
          <w:sz w:val="24"/>
          <w:szCs w:val="24"/>
          <w:lang w:eastAsia="es-ES"/>
        </w:rPr>
        <w:t>Ciencias Económicas</w:t>
      </w:r>
      <w:r w:rsidRPr="00E63BF0">
        <w:rPr>
          <w:rFonts w:ascii="Trebuchet MS" w:eastAsia="Times New Roman" w:hAnsi="Trebuchet MS" w:cs="Times New Roman"/>
          <w:color w:val="500050"/>
          <w:sz w:val="24"/>
          <w:szCs w:val="24"/>
          <w:lang w:eastAsia="es-ES"/>
        </w:rPr>
        <w:t> (Estadística, Administración Pública, Contaduría Pública, Dirección de Empresas, Administración Aduanera y Comercio Exterior, Economía)</w:t>
      </w:r>
    </w:p>
    <w:p w:rsidR="00E63BF0" w:rsidRPr="00E63BF0" w:rsidRDefault="00E63BF0" w:rsidP="00E63BF0">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b/>
          <w:bCs/>
          <w:color w:val="500050"/>
          <w:sz w:val="24"/>
          <w:szCs w:val="24"/>
          <w:lang w:eastAsia="es-ES"/>
        </w:rPr>
        <w:t>Ciencias Agroalimentarias </w:t>
      </w:r>
      <w:r w:rsidRPr="00E63BF0">
        <w:rPr>
          <w:rFonts w:ascii="Trebuchet MS" w:eastAsia="Times New Roman" w:hAnsi="Trebuchet MS" w:cs="Times New Roman"/>
          <w:color w:val="500050"/>
          <w:sz w:val="24"/>
          <w:szCs w:val="24"/>
          <w:lang w:eastAsia="es-ES"/>
        </w:rPr>
        <w:t>(Economía Agrícola, Zootecnia, Agronomía, Ingeniería de Alimentos)</w:t>
      </w:r>
    </w:p>
    <w:p w:rsidR="00E63BF0" w:rsidRPr="00E63BF0" w:rsidRDefault="00F32CA9" w:rsidP="00E63BF0">
      <w:pPr>
        <w:numPr>
          <w:ilvl w:val="0"/>
          <w:numId w:val="2"/>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Pr>
          <w:rFonts w:ascii="Trebuchet MS" w:eastAsia="Times New Roman" w:hAnsi="Trebuchet MS" w:cs="Times New Roman"/>
          <w:b/>
          <w:bCs/>
          <w:color w:val="500050"/>
          <w:sz w:val="24"/>
          <w:szCs w:val="24"/>
          <w:lang w:eastAsia="es-ES"/>
        </w:rPr>
        <w:t>S</w:t>
      </w:r>
      <w:r w:rsidR="00E63BF0" w:rsidRPr="00E63BF0">
        <w:rPr>
          <w:rFonts w:ascii="Trebuchet MS" w:eastAsia="Times New Roman" w:hAnsi="Trebuchet MS" w:cs="Times New Roman"/>
          <w:b/>
          <w:bCs/>
          <w:color w:val="500050"/>
          <w:sz w:val="24"/>
          <w:szCs w:val="24"/>
          <w:lang w:eastAsia="es-ES"/>
        </w:rPr>
        <w:t xml:space="preserve">edes </w:t>
      </w:r>
      <w:r>
        <w:rPr>
          <w:rFonts w:ascii="Trebuchet MS" w:eastAsia="Times New Roman" w:hAnsi="Trebuchet MS" w:cs="Times New Roman"/>
          <w:b/>
          <w:bCs/>
          <w:color w:val="500050"/>
          <w:sz w:val="24"/>
          <w:szCs w:val="24"/>
          <w:lang w:eastAsia="es-ES"/>
        </w:rPr>
        <w:t>R</w:t>
      </w:r>
      <w:r w:rsidR="00E63BF0" w:rsidRPr="00E63BF0">
        <w:rPr>
          <w:rFonts w:ascii="Trebuchet MS" w:eastAsia="Times New Roman" w:hAnsi="Trebuchet MS" w:cs="Times New Roman"/>
          <w:b/>
          <w:bCs/>
          <w:color w:val="500050"/>
          <w:sz w:val="24"/>
          <w:szCs w:val="24"/>
          <w:lang w:eastAsia="es-ES"/>
        </w:rPr>
        <w:t>egionales </w:t>
      </w:r>
      <w:r w:rsidR="00E63BF0" w:rsidRPr="00E63BF0">
        <w:rPr>
          <w:rFonts w:ascii="Trebuchet MS" w:eastAsia="Times New Roman" w:hAnsi="Trebuchet MS" w:cs="Times New Roman"/>
          <w:color w:val="500050"/>
          <w:sz w:val="24"/>
          <w:szCs w:val="24"/>
          <w:lang w:eastAsia="es-ES"/>
        </w:rPr>
        <w:t>(Informática Empresarial, Turismo Ecológico, Laboratorista Químico, Marina Civil, Desarrollo Sostenible, Ingeniería Electromecánica Industrial)</w:t>
      </w:r>
    </w:p>
    <w:p w:rsidR="00E63BF0" w:rsidRPr="00E63BF0" w:rsidRDefault="00E63BF0" w:rsidP="00E63BF0">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color w:val="500050"/>
          <w:sz w:val="24"/>
          <w:szCs w:val="24"/>
          <w:lang w:eastAsia="es-ES"/>
        </w:rPr>
        <w:t xml:space="preserve">El </w:t>
      </w:r>
      <w:proofErr w:type="spellStart"/>
      <w:r w:rsidRPr="00E63BF0">
        <w:rPr>
          <w:rFonts w:ascii="Trebuchet MS" w:eastAsia="Times New Roman" w:hAnsi="Trebuchet MS" w:cs="Times New Roman"/>
          <w:color w:val="500050"/>
          <w:sz w:val="24"/>
          <w:szCs w:val="24"/>
          <w:lang w:eastAsia="es-ES"/>
        </w:rPr>
        <w:t>DiMa</w:t>
      </w:r>
      <w:proofErr w:type="spellEnd"/>
      <w:r w:rsidRPr="00E63BF0">
        <w:rPr>
          <w:rFonts w:ascii="Trebuchet MS" w:eastAsia="Times New Roman" w:hAnsi="Trebuchet MS" w:cs="Times New Roman"/>
          <w:color w:val="500050"/>
          <w:sz w:val="24"/>
          <w:szCs w:val="24"/>
          <w:lang w:eastAsia="es-ES"/>
        </w:rPr>
        <w:t xml:space="preserve"> evalúa el conocimiento de Precálculo que debe poseer un o una estudiante que debe cursar Cálculo diferencial o Cálculo diferencial e integral.</w:t>
      </w:r>
    </w:p>
    <w:p w:rsidR="00E63BF0" w:rsidRPr="00E63BF0" w:rsidRDefault="00E63BF0" w:rsidP="00E63BF0">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color w:val="500050"/>
          <w:sz w:val="24"/>
          <w:szCs w:val="24"/>
          <w:lang w:eastAsia="es-ES"/>
        </w:rPr>
        <w:t xml:space="preserve">Las carreras de Ingeniería (salvo Ingeniería Eléctrica), Ciencias Económicas y Ciencias Básicas (salvo Biología y Educación Matemática), Ingeniería de Alimentos, Laboratorista Químico, Marina Civil, Desarrollo Sostenible, Ingeniería Electromecánica Industrial tienen en su plan de estudios el curso MA 0001 Precálculo y la aprobación del </w:t>
      </w:r>
      <w:proofErr w:type="spellStart"/>
      <w:r w:rsidRPr="00E63BF0">
        <w:rPr>
          <w:rFonts w:ascii="Trebuchet MS" w:eastAsia="Times New Roman" w:hAnsi="Trebuchet MS" w:cs="Times New Roman"/>
          <w:color w:val="500050"/>
          <w:sz w:val="24"/>
          <w:szCs w:val="24"/>
          <w:lang w:eastAsia="es-ES"/>
        </w:rPr>
        <w:t>DiMa</w:t>
      </w:r>
      <w:proofErr w:type="spellEnd"/>
      <w:r w:rsidRPr="00E63BF0">
        <w:rPr>
          <w:rFonts w:ascii="Trebuchet MS" w:eastAsia="Times New Roman" w:hAnsi="Trebuchet MS" w:cs="Times New Roman"/>
          <w:color w:val="500050"/>
          <w:sz w:val="24"/>
          <w:szCs w:val="24"/>
          <w:lang w:eastAsia="es-ES"/>
        </w:rPr>
        <w:t xml:space="preserve"> convalida el curso, por lo cual podrían iniciar en su primer año con el curso de Cálculo respectivo.</w:t>
      </w:r>
    </w:p>
    <w:p w:rsidR="00E63BF0" w:rsidRPr="00E63BF0" w:rsidRDefault="00E63BF0" w:rsidP="00E63BF0">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color w:val="500050"/>
          <w:sz w:val="24"/>
          <w:szCs w:val="24"/>
          <w:lang w:eastAsia="es-ES"/>
        </w:rPr>
        <w:t xml:space="preserve">Para las carreras restantes, la realización del </w:t>
      </w:r>
      <w:proofErr w:type="spellStart"/>
      <w:r w:rsidRPr="00E63BF0">
        <w:rPr>
          <w:rFonts w:ascii="Trebuchet MS" w:eastAsia="Times New Roman" w:hAnsi="Trebuchet MS" w:cs="Times New Roman"/>
          <w:color w:val="500050"/>
          <w:sz w:val="24"/>
          <w:szCs w:val="24"/>
          <w:lang w:eastAsia="es-ES"/>
        </w:rPr>
        <w:t>DiMa</w:t>
      </w:r>
      <w:proofErr w:type="spellEnd"/>
      <w:r w:rsidRPr="00E63BF0">
        <w:rPr>
          <w:rFonts w:ascii="Trebuchet MS" w:eastAsia="Times New Roman" w:hAnsi="Trebuchet MS" w:cs="Times New Roman"/>
          <w:color w:val="500050"/>
          <w:sz w:val="24"/>
          <w:szCs w:val="24"/>
          <w:lang w:eastAsia="es-ES"/>
        </w:rPr>
        <w:t xml:space="preserve"> abre la posibilidad de optar por el plan remedial (taller de nivelación) en el periodo de verano </w:t>
      </w:r>
      <w:r w:rsidR="00A62A36">
        <w:rPr>
          <w:rFonts w:ascii="Trebuchet MS" w:eastAsia="Times New Roman" w:hAnsi="Trebuchet MS" w:cs="Times New Roman"/>
          <w:color w:val="500050"/>
          <w:sz w:val="24"/>
          <w:szCs w:val="24"/>
          <w:lang w:eastAsia="es-ES"/>
        </w:rPr>
        <w:t>(</w:t>
      </w:r>
      <w:r w:rsidRPr="00E63BF0">
        <w:rPr>
          <w:rFonts w:ascii="Trebuchet MS" w:eastAsia="Times New Roman" w:hAnsi="Trebuchet MS" w:cs="Times New Roman"/>
          <w:color w:val="500050"/>
          <w:sz w:val="24"/>
          <w:szCs w:val="24"/>
          <w:lang w:eastAsia="es-ES"/>
        </w:rPr>
        <w:t>mes de febrero</w:t>
      </w:r>
      <w:r w:rsidR="00A62A36">
        <w:rPr>
          <w:rFonts w:ascii="Trebuchet MS" w:eastAsia="Times New Roman" w:hAnsi="Trebuchet MS" w:cs="Times New Roman"/>
          <w:color w:val="500050"/>
          <w:sz w:val="24"/>
          <w:szCs w:val="24"/>
          <w:lang w:eastAsia="es-ES"/>
        </w:rPr>
        <w:t xml:space="preserve"> 2019</w:t>
      </w:r>
      <w:r w:rsidRPr="00E63BF0">
        <w:rPr>
          <w:rFonts w:ascii="Trebuchet MS" w:eastAsia="Times New Roman" w:hAnsi="Trebuchet MS" w:cs="Times New Roman"/>
          <w:color w:val="500050"/>
          <w:sz w:val="24"/>
          <w:szCs w:val="24"/>
          <w:lang w:eastAsia="es-ES"/>
        </w:rPr>
        <w:t>)</w:t>
      </w:r>
    </w:p>
    <w:p w:rsidR="00E63BF0" w:rsidRPr="00E63BF0" w:rsidRDefault="00A62A36" w:rsidP="00E63BF0">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Pr>
          <w:rFonts w:ascii="Trebuchet MS" w:eastAsia="Times New Roman" w:hAnsi="Trebuchet MS" w:cs="Times New Roman"/>
          <w:color w:val="500050"/>
          <w:sz w:val="24"/>
          <w:szCs w:val="24"/>
          <w:lang w:eastAsia="es-ES"/>
        </w:rPr>
        <w:t>L</w:t>
      </w:r>
      <w:r w:rsidR="00E63BF0" w:rsidRPr="00E63BF0">
        <w:rPr>
          <w:rFonts w:ascii="Trebuchet MS" w:eastAsia="Times New Roman" w:hAnsi="Trebuchet MS" w:cs="Times New Roman"/>
          <w:color w:val="500050"/>
          <w:sz w:val="24"/>
          <w:szCs w:val="24"/>
          <w:lang w:eastAsia="es-ES"/>
        </w:rPr>
        <w:t xml:space="preserve">a realidad que se vive en la UCR en cuanto a Matemática evidencia que la preparación en secundaria no es suficiente para hacerle frente al curso de Cálculo, e incluso tampoco cuentan con los conocimientos mínimos para Precálculo. Más dramático aún es que el porcentaje de aprobación del </w:t>
      </w:r>
      <w:proofErr w:type="spellStart"/>
      <w:r w:rsidR="00E63BF0" w:rsidRPr="00E63BF0">
        <w:rPr>
          <w:rFonts w:ascii="Trebuchet MS" w:eastAsia="Times New Roman" w:hAnsi="Trebuchet MS" w:cs="Times New Roman"/>
          <w:color w:val="500050"/>
          <w:sz w:val="24"/>
          <w:szCs w:val="24"/>
          <w:lang w:eastAsia="es-ES"/>
        </w:rPr>
        <w:t>DiMa</w:t>
      </w:r>
      <w:proofErr w:type="spellEnd"/>
      <w:r w:rsidR="00E63BF0" w:rsidRPr="00E63BF0">
        <w:rPr>
          <w:rFonts w:ascii="Trebuchet MS" w:eastAsia="Times New Roman" w:hAnsi="Trebuchet MS" w:cs="Times New Roman"/>
          <w:color w:val="500050"/>
          <w:sz w:val="24"/>
          <w:szCs w:val="24"/>
          <w:lang w:eastAsia="es-ES"/>
        </w:rPr>
        <w:t xml:space="preserve"> no supera el 10%</w:t>
      </w:r>
    </w:p>
    <w:p w:rsidR="00E63BF0" w:rsidRDefault="00E63BF0" w:rsidP="00E63BF0">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color w:val="500050"/>
          <w:sz w:val="24"/>
          <w:szCs w:val="24"/>
          <w:lang w:eastAsia="es-ES"/>
        </w:rPr>
        <w:t xml:space="preserve">La reprobación del </w:t>
      </w:r>
      <w:proofErr w:type="spellStart"/>
      <w:r w:rsidRPr="00E63BF0">
        <w:rPr>
          <w:rFonts w:ascii="Trebuchet MS" w:eastAsia="Times New Roman" w:hAnsi="Trebuchet MS" w:cs="Times New Roman"/>
          <w:color w:val="500050"/>
          <w:sz w:val="24"/>
          <w:szCs w:val="24"/>
          <w:lang w:eastAsia="es-ES"/>
        </w:rPr>
        <w:t>DiMa</w:t>
      </w:r>
      <w:proofErr w:type="spellEnd"/>
      <w:r w:rsidRPr="00E63BF0">
        <w:rPr>
          <w:rFonts w:ascii="Trebuchet MS" w:eastAsia="Times New Roman" w:hAnsi="Trebuchet MS" w:cs="Times New Roman"/>
          <w:color w:val="500050"/>
          <w:sz w:val="24"/>
          <w:szCs w:val="24"/>
          <w:lang w:eastAsia="es-ES"/>
        </w:rPr>
        <w:t xml:space="preserve"> no tiene implicaciones negativas sobre el ingreso a carrera o cualquier otro proceso. Únicamente debe asumirse como un dato revelador sobre la condición del o de la estudiante sobre sus conocimientos previos para Cálculo. Esto no implica bajo ninguna circunstancia que la condición de obligatoriedad queda sin efecto.</w:t>
      </w:r>
    </w:p>
    <w:p w:rsidR="00E63BF0" w:rsidRPr="00E63BF0" w:rsidRDefault="00A62A36" w:rsidP="00E63BF0">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Pr>
          <w:rFonts w:ascii="Trebuchet MS" w:eastAsia="Times New Roman" w:hAnsi="Trebuchet MS" w:cs="Times New Roman"/>
          <w:color w:val="500050"/>
          <w:sz w:val="24"/>
          <w:szCs w:val="24"/>
          <w:lang w:eastAsia="es-ES"/>
        </w:rPr>
        <w:lastRenderedPageBreak/>
        <w:t xml:space="preserve">Se cuenta </w:t>
      </w:r>
      <w:r w:rsidR="00E63BF0" w:rsidRPr="00E63BF0">
        <w:rPr>
          <w:rFonts w:ascii="Trebuchet MS" w:eastAsia="Times New Roman" w:hAnsi="Trebuchet MS" w:cs="Times New Roman"/>
          <w:color w:val="500050"/>
          <w:sz w:val="24"/>
          <w:szCs w:val="24"/>
          <w:lang w:eastAsia="es-ES"/>
        </w:rPr>
        <w:t xml:space="preserve">con material de estudio para el </w:t>
      </w:r>
      <w:proofErr w:type="spellStart"/>
      <w:r w:rsidR="00E63BF0" w:rsidRPr="00E63BF0">
        <w:rPr>
          <w:rFonts w:ascii="Trebuchet MS" w:eastAsia="Times New Roman" w:hAnsi="Trebuchet MS" w:cs="Times New Roman"/>
          <w:color w:val="500050"/>
          <w:sz w:val="24"/>
          <w:szCs w:val="24"/>
          <w:lang w:eastAsia="es-ES"/>
        </w:rPr>
        <w:t>DiMa</w:t>
      </w:r>
      <w:proofErr w:type="spellEnd"/>
      <w:r w:rsidR="00E63BF0" w:rsidRPr="00E63BF0">
        <w:rPr>
          <w:rFonts w:ascii="Trebuchet MS" w:eastAsia="Times New Roman" w:hAnsi="Trebuchet MS" w:cs="Times New Roman"/>
          <w:color w:val="500050"/>
          <w:sz w:val="24"/>
          <w:szCs w:val="24"/>
          <w:lang w:eastAsia="es-ES"/>
        </w:rPr>
        <w:t xml:space="preserve"> e incluso una plataforma digital para que los y las estudiantes hagan una revisión de los temas que evaluamos. Por ejemplo, la prueba evalúa Trigonometría, tema que ya no se analiza en niveles superiores de secundaria pero es fundamental para Cálculo.</w:t>
      </w:r>
    </w:p>
    <w:p w:rsidR="00E63BF0" w:rsidRPr="00E63BF0" w:rsidRDefault="00E63BF0" w:rsidP="00E63BF0">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color w:val="500050"/>
          <w:sz w:val="24"/>
          <w:szCs w:val="24"/>
          <w:lang w:eastAsia="es-ES"/>
        </w:rPr>
        <w:t>Toda la información detallada se encuentra en nuestra página </w:t>
      </w:r>
      <w:hyperlink r:id="rId5" w:tgtFrame="_blank" w:history="1">
        <w:r w:rsidRPr="00E63BF0">
          <w:rPr>
            <w:rFonts w:ascii="Trebuchet MS" w:eastAsia="Times New Roman" w:hAnsi="Trebuchet MS" w:cs="Times New Roman"/>
            <w:color w:val="1155CC"/>
            <w:sz w:val="24"/>
            <w:szCs w:val="24"/>
            <w:u w:val="single"/>
            <w:lang w:eastAsia="es-ES"/>
          </w:rPr>
          <w:t>www.diagnostico.emate.ucr.ac.cr</w:t>
        </w:r>
      </w:hyperlink>
    </w:p>
    <w:p w:rsidR="00326BB7" w:rsidRDefault="00DC1863"/>
    <w:p w:rsidR="00003B59" w:rsidRPr="00A62A36" w:rsidRDefault="00A62A36">
      <w:pPr>
        <w:rPr>
          <w:rFonts w:ascii="Trebuchet MS" w:eastAsia="Times New Roman" w:hAnsi="Trebuchet MS" w:cs="Times New Roman"/>
          <w:color w:val="500050"/>
          <w:sz w:val="24"/>
          <w:szCs w:val="24"/>
          <w:lang w:eastAsia="es-ES"/>
        </w:rPr>
      </w:pPr>
      <w:r w:rsidRPr="00A62A36">
        <w:rPr>
          <w:rFonts w:ascii="Trebuchet MS" w:eastAsia="Times New Roman" w:hAnsi="Trebuchet MS" w:cs="Times New Roman"/>
          <w:color w:val="500050"/>
          <w:sz w:val="24"/>
          <w:szCs w:val="24"/>
          <w:lang w:eastAsia="es-ES"/>
        </w:rPr>
        <w:t xml:space="preserve">El </w:t>
      </w:r>
      <w:proofErr w:type="spellStart"/>
      <w:r w:rsidRPr="00A62A36">
        <w:rPr>
          <w:rFonts w:ascii="Trebuchet MS" w:eastAsia="Times New Roman" w:hAnsi="Trebuchet MS" w:cs="Times New Roman"/>
          <w:color w:val="500050"/>
          <w:sz w:val="24"/>
          <w:szCs w:val="24"/>
          <w:lang w:eastAsia="es-ES"/>
        </w:rPr>
        <w:t>DiMa</w:t>
      </w:r>
      <w:proofErr w:type="spellEnd"/>
      <w:r w:rsidRPr="00A62A36">
        <w:rPr>
          <w:rFonts w:ascii="Trebuchet MS" w:eastAsia="Times New Roman" w:hAnsi="Trebuchet MS" w:cs="Times New Roman"/>
          <w:color w:val="500050"/>
          <w:sz w:val="24"/>
          <w:szCs w:val="24"/>
          <w:lang w:eastAsia="es-ES"/>
        </w:rPr>
        <w:t xml:space="preserve"> 2019 se puede aplicar en cualquiera de las siguientes sedes, independientemente de la sede en la cual estés matriculado</w:t>
      </w:r>
      <w:r>
        <w:rPr>
          <w:rFonts w:ascii="Trebuchet MS" w:eastAsia="Times New Roman" w:hAnsi="Trebuchet MS" w:cs="Times New Roman"/>
          <w:color w:val="500050"/>
          <w:sz w:val="24"/>
          <w:szCs w:val="24"/>
          <w:lang w:eastAsia="es-ES"/>
        </w:rPr>
        <w:t>:</w:t>
      </w:r>
    </w:p>
    <w:p w:rsidR="00003B59" w:rsidRPr="00003B59" w:rsidRDefault="00003B59" w:rsidP="00A62A36">
      <w:pPr>
        <w:shd w:val="clear" w:color="auto" w:fill="FFFFFF"/>
        <w:spacing w:before="100" w:beforeAutospacing="1" w:after="100" w:afterAutospacing="1" w:line="240" w:lineRule="auto"/>
        <w:ind w:left="945"/>
        <w:rPr>
          <w:rFonts w:ascii="Trebuchet MS" w:eastAsia="Times New Roman" w:hAnsi="Trebuchet MS" w:cs="Times New Roman"/>
          <w:b/>
          <w:color w:val="7030A0"/>
          <w:sz w:val="32"/>
          <w:szCs w:val="32"/>
          <w:lang w:eastAsia="es-ES"/>
        </w:rPr>
      </w:pPr>
      <w:r w:rsidRPr="00003B59">
        <w:rPr>
          <w:rFonts w:ascii="Trebuchet MS" w:eastAsia="Times New Roman" w:hAnsi="Trebuchet MS" w:cs="Times New Roman"/>
          <w:b/>
          <w:color w:val="7030A0"/>
          <w:sz w:val="32"/>
          <w:szCs w:val="32"/>
          <w:lang w:eastAsia="es-ES"/>
        </w:rPr>
        <w:t>Aplicación ordinaria</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Arial" w:eastAsia="Times New Roman" w:hAnsi="Arial" w:cs="Arial"/>
          <w:color w:val="500050"/>
          <w:sz w:val="24"/>
          <w:szCs w:val="24"/>
          <w:lang w:eastAsia="es-ES"/>
        </w:rPr>
        <w:t>​</w:t>
      </w:r>
      <w:r w:rsidRPr="00003B59">
        <w:rPr>
          <w:rFonts w:ascii="Trebuchet MS" w:eastAsia="Times New Roman" w:hAnsi="Trebuchet MS" w:cs="Times New Roman"/>
          <w:color w:val="500050"/>
          <w:sz w:val="24"/>
          <w:szCs w:val="24"/>
          <w:lang w:eastAsia="es-ES"/>
        </w:rPr>
        <w:t>Sede Rodrigo Facio, San Pedro de Montes de Oca,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Arial" w:eastAsia="Times New Roman" w:hAnsi="Arial" w:cs="Arial"/>
          <w:color w:val="500050"/>
          <w:sz w:val="24"/>
          <w:szCs w:val="24"/>
          <w:lang w:eastAsia="es-ES"/>
        </w:rPr>
        <w:t>​</w:t>
      </w:r>
      <w:r w:rsidRPr="00003B59">
        <w:rPr>
          <w:rFonts w:ascii="Trebuchet MS" w:eastAsia="Times New Roman" w:hAnsi="Trebuchet MS" w:cs="Times New Roman"/>
          <w:color w:val="500050"/>
          <w:sz w:val="24"/>
          <w:szCs w:val="24"/>
          <w:lang w:eastAsia="es-ES"/>
        </w:rPr>
        <w:t>Recinto de Alajuela (Sede Interuniversitaria),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San Ramón,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Tacares,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Arial" w:eastAsia="Times New Roman" w:hAnsi="Arial" w:cs="Arial"/>
          <w:color w:val="500050"/>
          <w:sz w:val="24"/>
          <w:szCs w:val="24"/>
          <w:lang w:eastAsia="es-ES"/>
        </w:rPr>
        <w:t>​</w:t>
      </w:r>
      <w:r w:rsidRPr="00003B59">
        <w:rPr>
          <w:rFonts w:ascii="Trebuchet MS" w:eastAsia="Times New Roman" w:hAnsi="Trebuchet MS" w:cs="Times New Roman"/>
          <w:color w:val="500050"/>
          <w:sz w:val="24"/>
          <w:szCs w:val="24"/>
          <w:lang w:eastAsia="es-ES"/>
        </w:rPr>
        <w:t>Sede de la UNED, San Carlos</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Arial" w:eastAsia="Times New Roman" w:hAnsi="Arial" w:cs="Arial"/>
          <w:color w:val="500050"/>
          <w:sz w:val="24"/>
          <w:szCs w:val="24"/>
          <w:lang w:eastAsia="es-ES"/>
        </w:rPr>
        <w:t>​</w:t>
      </w:r>
      <w:r w:rsidRPr="00003B59">
        <w:rPr>
          <w:rFonts w:ascii="Trebuchet MS" w:eastAsia="Times New Roman" w:hAnsi="Trebuchet MS" w:cs="Times New Roman"/>
          <w:color w:val="500050"/>
          <w:sz w:val="24"/>
          <w:szCs w:val="24"/>
          <w:lang w:eastAsia="es-ES"/>
        </w:rPr>
        <w:t>Recinto de Turrialba,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Sede del TEC, Cartago</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Guápiles,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Liberia,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Sede de la UNED</w:t>
      </w:r>
      <w:r w:rsidRPr="00003B59">
        <w:rPr>
          <w:rFonts w:ascii="Arial" w:eastAsia="Times New Roman" w:hAnsi="Arial" w:cs="Arial"/>
          <w:color w:val="500050"/>
          <w:sz w:val="24"/>
          <w:szCs w:val="24"/>
          <w:lang w:eastAsia="es-ES"/>
        </w:rPr>
        <w:t>​</w:t>
      </w:r>
      <w:r w:rsidRPr="00003B59">
        <w:rPr>
          <w:rFonts w:ascii="Trebuchet MS" w:eastAsia="Times New Roman" w:hAnsi="Trebuchet MS" w:cs="Times New Roman"/>
          <w:color w:val="500050"/>
          <w:sz w:val="24"/>
          <w:szCs w:val="24"/>
          <w:lang w:eastAsia="es-ES"/>
        </w:rPr>
        <w:t>, Santa Cruz</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Sede de la UNED, Nicoya</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Limón,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Arial" w:eastAsia="Times New Roman" w:hAnsi="Arial" w:cs="Arial"/>
          <w:color w:val="500050"/>
          <w:sz w:val="24"/>
          <w:szCs w:val="24"/>
          <w:lang w:eastAsia="es-ES"/>
        </w:rPr>
        <w:t>​</w:t>
      </w:r>
      <w:r w:rsidRPr="00003B59">
        <w:rPr>
          <w:rFonts w:ascii="Trebuchet MS" w:eastAsia="Times New Roman" w:hAnsi="Trebuchet MS" w:cs="Times New Roman"/>
          <w:color w:val="500050"/>
          <w:sz w:val="24"/>
          <w:szCs w:val="24"/>
          <w:lang w:eastAsia="es-ES"/>
        </w:rPr>
        <w:t>Aula de Siquirres,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Sede Regional del Pacífico, Puntarenas,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Golfito, UCR</w:t>
      </w:r>
    </w:p>
    <w:p w:rsid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Arial" w:eastAsia="Times New Roman" w:hAnsi="Arial" w:cs="Arial"/>
          <w:color w:val="500050"/>
          <w:sz w:val="24"/>
          <w:szCs w:val="24"/>
          <w:lang w:eastAsia="es-ES"/>
        </w:rPr>
        <w:t>​</w:t>
      </w:r>
      <w:r w:rsidRPr="00003B59">
        <w:rPr>
          <w:rFonts w:ascii="Trebuchet MS" w:eastAsia="Times New Roman" w:hAnsi="Trebuchet MS" w:cs="Times New Roman"/>
          <w:color w:val="500050"/>
          <w:sz w:val="24"/>
          <w:szCs w:val="24"/>
          <w:lang w:eastAsia="es-ES"/>
        </w:rPr>
        <w:t>Sede de la UNA, Pérez Zeledón</w:t>
      </w:r>
    </w:p>
    <w:p w:rsidR="00A62A36" w:rsidRPr="00A62A36" w:rsidRDefault="00A62A36" w:rsidP="00A62A36">
      <w:p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p>
    <w:p w:rsidR="00003B59" w:rsidRPr="00003B59" w:rsidRDefault="00003B59" w:rsidP="00A62A36">
      <w:pPr>
        <w:shd w:val="clear" w:color="auto" w:fill="FFFFFF"/>
        <w:spacing w:before="100" w:beforeAutospacing="1" w:after="100" w:afterAutospacing="1" w:line="240" w:lineRule="auto"/>
        <w:ind w:left="945"/>
        <w:rPr>
          <w:rFonts w:ascii="Trebuchet MS" w:eastAsia="Times New Roman" w:hAnsi="Trebuchet MS" w:cs="Times New Roman"/>
          <w:b/>
          <w:color w:val="7030A0"/>
          <w:sz w:val="32"/>
          <w:szCs w:val="32"/>
          <w:lang w:eastAsia="es-ES"/>
        </w:rPr>
      </w:pPr>
      <w:r w:rsidRPr="00003B59">
        <w:rPr>
          <w:rFonts w:ascii="Trebuchet MS" w:eastAsia="Times New Roman" w:hAnsi="Trebuchet MS" w:cs="Times New Roman"/>
          <w:b/>
          <w:color w:val="7030A0"/>
          <w:sz w:val="32"/>
          <w:szCs w:val="32"/>
          <w:lang w:eastAsia="es-ES"/>
        </w:rPr>
        <w:t>Aplicación extraordinaria</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Arial" w:eastAsia="Times New Roman" w:hAnsi="Arial" w:cs="Arial"/>
          <w:color w:val="500050"/>
          <w:sz w:val="24"/>
          <w:szCs w:val="24"/>
          <w:lang w:eastAsia="es-ES"/>
        </w:rPr>
        <w:t>​</w:t>
      </w:r>
      <w:r w:rsidRPr="00003B59">
        <w:rPr>
          <w:rFonts w:ascii="Trebuchet MS" w:eastAsia="Times New Roman" w:hAnsi="Trebuchet MS" w:cs="Times New Roman"/>
          <w:color w:val="500050"/>
          <w:sz w:val="24"/>
          <w:szCs w:val="24"/>
          <w:lang w:eastAsia="es-ES"/>
        </w:rPr>
        <w:t>Sede Rodrigo Facio, San Pedro de Montes de Oca,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San Ramón,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Turrialba, UCR</w:t>
      </w:r>
      <w:r w:rsidRPr="00003B59">
        <w:rPr>
          <w:rFonts w:ascii="Arial" w:eastAsia="Times New Roman" w:hAnsi="Arial" w:cs="Arial"/>
          <w:color w:val="500050"/>
          <w:sz w:val="24"/>
          <w:szCs w:val="24"/>
          <w:lang w:eastAsia="es-ES"/>
        </w:rPr>
        <w:t>​​</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Liberia, UCR</w:t>
      </w:r>
      <w:r w:rsidRPr="00003B59">
        <w:rPr>
          <w:rFonts w:ascii="Arial" w:eastAsia="Times New Roman" w:hAnsi="Arial" w:cs="Arial"/>
          <w:color w:val="500050"/>
          <w:sz w:val="24"/>
          <w:szCs w:val="24"/>
          <w:lang w:eastAsia="es-ES"/>
        </w:rPr>
        <w:t>​​</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Recinto de Limón, UCR</w:t>
      </w:r>
    </w:p>
    <w:p w:rsidR="00003B59" w:rsidRPr="00003B59"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Trebuchet MS" w:eastAsia="Times New Roman" w:hAnsi="Trebuchet MS" w:cs="Times New Roman"/>
          <w:color w:val="500050"/>
          <w:sz w:val="24"/>
          <w:szCs w:val="24"/>
          <w:lang w:eastAsia="es-ES"/>
        </w:rPr>
        <w:t>Sede Regional del Pacífico, Puntarenas, UCR</w:t>
      </w:r>
    </w:p>
    <w:p w:rsidR="00003B59" w:rsidRPr="00A62A36" w:rsidRDefault="00003B59" w:rsidP="00A62A36">
      <w:pPr>
        <w:numPr>
          <w:ilvl w:val="0"/>
          <w:numId w:val="3"/>
        </w:num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r w:rsidRPr="00003B59">
        <w:rPr>
          <w:rFonts w:ascii="Arial" w:eastAsia="Times New Roman" w:hAnsi="Arial" w:cs="Arial"/>
          <w:color w:val="500050"/>
          <w:sz w:val="24"/>
          <w:szCs w:val="24"/>
          <w:lang w:eastAsia="es-ES"/>
        </w:rPr>
        <w:t>​​</w:t>
      </w:r>
      <w:r w:rsidRPr="00003B59">
        <w:rPr>
          <w:rFonts w:ascii="Trebuchet MS" w:eastAsia="Times New Roman" w:hAnsi="Trebuchet MS" w:cs="Times New Roman"/>
          <w:color w:val="500050"/>
          <w:sz w:val="24"/>
          <w:szCs w:val="24"/>
          <w:lang w:eastAsia="es-ES"/>
        </w:rPr>
        <w:t>Sede de la UNA, Pérez Zeledón</w:t>
      </w:r>
    </w:p>
    <w:p w:rsidR="00A62A36" w:rsidRDefault="00A62A36" w:rsidP="00A62A36">
      <w:pPr>
        <w:shd w:val="clear" w:color="auto" w:fill="FFFFFF"/>
        <w:spacing w:before="100" w:beforeAutospacing="1" w:after="100" w:afterAutospacing="1" w:line="240" w:lineRule="auto"/>
        <w:ind w:left="945"/>
        <w:rPr>
          <w:rFonts w:ascii="Trebuchet MS" w:eastAsia="Times New Roman" w:hAnsi="Trebuchet MS" w:cs="Times New Roman"/>
          <w:color w:val="500050"/>
          <w:sz w:val="24"/>
          <w:szCs w:val="24"/>
          <w:lang w:eastAsia="es-ES"/>
        </w:rPr>
      </w:pPr>
    </w:p>
    <w:p w:rsidR="00A62A36" w:rsidRPr="00E63BF0" w:rsidRDefault="00A62A36" w:rsidP="00A62A36">
      <w:pPr>
        <w:shd w:val="clear" w:color="auto" w:fill="FFFFFF"/>
        <w:spacing w:before="100" w:beforeAutospacing="1" w:after="100" w:afterAutospacing="1" w:line="240" w:lineRule="auto"/>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color w:val="500050"/>
          <w:sz w:val="24"/>
          <w:szCs w:val="24"/>
          <w:lang w:eastAsia="es-ES"/>
        </w:rPr>
        <w:t>Toda la información detallada se encuentra en nuestra página </w:t>
      </w:r>
      <w:hyperlink r:id="rId6" w:tgtFrame="_blank" w:history="1">
        <w:r w:rsidRPr="00E63BF0">
          <w:rPr>
            <w:rFonts w:ascii="Trebuchet MS" w:eastAsia="Times New Roman" w:hAnsi="Trebuchet MS" w:cs="Times New Roman"/>
            <w:color w:val="1155CC"/>
            <w:sz w:val="24"/>
            <w:szCs w:val="24"/>
            <w:u w:val="single"/>
            <w:lang w:eastAsia="es-ES"/>
          </w:rPr>
          <w:t>www.diagnostico.emate.ucr.ac.cr</w:t>
        </w:r>
      </w:hyperlink>
    </w:p>
    <w:p w:rsidR="00A62A36" w:rsidRPr="00A62A36" w:rsidRDefault="00A62A36" w:rsidP="00A62A36">
      <w:pPr>
        <w:shd w:val="clear" w:color="auto" w:fill="FFFFFF"/>
        <w:spacing w:before="100" w:beforeAutospacing="1" w:after="100" w:afterAutospacing="1" w:line="240" w:lineRule="auto"/>
        <w:jc w:val="center"/>
        <w:rPr>
          <w:rFonts w:ascii="Trebuchet MS" w:eastAsia="Times New Roman" w:hAnsi="Trebuchet MS" w:cs="Times New Roman"/>
          <w:b/>
          <w:color w:val="7030A0"/>
          <w:sz w:val="24"/>
          <w:szCs w:val="24"/>
          <w:lang w:eastAsia="es-ES"/>
        </w:rPr>
      </w:pPr>
      <w:r w:rsidRPr="00A62A36">
        <w:rPr>
          <w:rFonts w:ascii="Trebuchet MS" w:eastAsia="Times New Roman" w:hAnsi="Trebuchet MS" w:cs="Times New Roman"/>
          <w:b/>
          <w:color w:val="7030A0"/>
          <w:sz w:val="24"/>
          <w:szCs w:val="24"/>
          <w:lang w:eastAsia="es-ES"/>
        </w:rPr>
        <w:lastRenderedPageBreak/>
        <w:t>Talleres de Nivelación</w:t>
      </w:r>
    </w:p>
    <w:p w:rsidR="00A62A36" w:rsidRP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r w:rsidRPr="00A62A36">
        <w:rPr>
          <w:rFonts w:ascii="Verdana" w:eastAsia="Times New Roman" w:hAnsi="Verdana" w:cs="Times New Roman"/>
          <w:color w:val="222222"/>
          <w:sz w:val="20"/>
          <w:szCs w:val="20"/>
          <w:lang w:eastAsia="es-ES"/>
        </w:rPr>
        <w:t>- Se brindarán talleres de nivelación en matemática en todas las Sedes y Recintos de la UCR.</w:t>
      </w:r>
    </w:p>
    <w:p w:rsidR="00A62A36" w:rsidRP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r w:rsidRPr="00A62A36">
        <w:rPr>
          <w:rFonts w:ascii="Verdana" w:eastAsia="Times New Roman" w:hAnsi="Verdana" w:cs="Times New Roman"/>
          <w:color w:val="222222"/>
          <w:sz w:val="20"/>
          <w:szCs w:val="20"/>
          <w:lang w:eastAsia="es-ES"/>
        </w:rPr>
        <w:t>- Inscripción: lunes 11 y martes 12 de febrero. Cada Sede define la forma de inscripción, consultar en la de interés.</w:t>
      </w:r>
    </w:p>
    <w:p w:rsidR="00A62A36" w:rsidRP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r w:rsidRPr="00A62A36">
        <w:rPr>
          <w:rFonts w:ascii="Verdana" w:eastAsia="Times New Roman" w:hAnsi="Verdana" w:cs="Times New Roman"/>
          <w:color w:val="222222"/>
          <w:sz w:val="20"/>
          <w:szCs w:val="20"/>
          <w:lang w:eastAsia="es-ES"/>
        </w:rPr>
        <w:t>- En la Sede Rodrigo Facio será vía telefónica: 2511-6388, 2511-3414, 2511-8776 y 2511-5662.</w:t>
      </w:r>
    </w:p>
    <w:p w:rsidR="00A62A36" w:rsidRP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r w:rsidRPr="00A62A36">
        <w:rPr>
          <w:rFonts w:ascii="Verdana" w:eastAsia="Times New Roman" w:hAnsi="Verdana" w:cs="Times New Roman"/>
          <w:color w:val="222222"/>
          <w:sz w:val="20"/>
          <w:szCs w:val="20"/>
          <w:lang w:eastAsia="es-ES"/>
        </w:rPr>
        <w:t>- Si la nota del DIMA es 30 o inferior, se recomienda matricular el Taller de Nivelación I.</w:t>
      </w:r>
    </w:p>
    <w:p w:rsidR="00A62A36" w:rsidRP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r w:rsidRPr="00A62A36">
        <w:rPr>
          <w:rFonts w:ascii="Verdana" w:eastAsia="Times New Roman" w:hAnsi="Verdana" w:cs="Times New Roman"/>
          <w:color w:val="222222"/>
          <w:sz w:val="20"/>
          <w:szCs w:val="20"/>
          <w:lang w:eastAsia="es-ES"/>
        </w:rPr>
        <w:t>- Si la nota del DIMA es de 35 a 65 y el plan de estudio </w:t>
      </w:r>
      <w:r w:rsidRPr="00A62A36">
        <w:rPr>
          <w:rFonts w:ascii="Verdana" w:eastAsia="Times New Roman" w:hAnsi="Verdana" w:cs="Times New Roman"/>
          <w:b/>
          <w:bCs/>
          <w:i/>
          <w:iCs/>
          <w:color w:val="222222"/>
          <w:sz w:val="20"/>
          <w:szCs w:val="20"/>
          <w:u w:val="single"/>
          <w:lang w:eastAsia="es-ES"/>
        </w:rPr>
        <w:t>SI </w:t>
      </w:r>
      <w:r w:rsidRPr="00A62A36">
        <w:rPr>
          <w:rFonts w:ascii="Verdana" w:eastAsia="Times New Roman" w:hAnsi="Verdana" w:cs="Times New Roman"/>
          <w:color w:val="222222"/>
          <w:sz w:val="20"/>
          <w:szCs w:val="20"/>
          <w:lang w:eastAsia="es-ES"/>
        </w:rPr>
        <w:t>incluye Precálculo, debe matricularlo en el I ciclo.</w:t>
      </w:r>
    </w:p>
    <w:p w:rsidR="00A62A36" w:rsidRP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r w:rsidRPr="00A62A36">
        <w:rPr>
          <w:rFonts w:ascii="Verdana" w:eastAsia="Times New Roman" w:hAnsi="Verdana" w:cs="Times New Roman"/>
          <w:color w:val="222222"/>
          <w:sz w:val="20"/>
          <w:szCs w:val="20"/>
          <w:lang w:eastAsia="es-ES"/>
        </w:rPr>
        <w:t>- Si la nota del DIMA es de 35 a 65 y el plan de estudios</w:t>
      </w:r>
      <w:r w:rsidRPr="00A62A36">
        <w:rPr>
          <w:rFonts w:ascii="Verdana" w:eastAsia="Times New Roman" w:hAnsi="Verdana" w:cs="Times New Roman"/>
          <w:color w:val="222222"/>
          <w:sz w:val="20"/>
          <w:szCs w:val="20"/>
          <w:u w:val="single"/>
          <w:lang w:eastAsia="es-ES"/>
        </w:rPr>
        <w:t> </w:t>
      </w:r>
      <w:r w:rsidRPr="00A62A36">
        <w:rPr>
          <w:rFonts w:ascii="Verdana" w:eastAsia="Times New Roman" w:hAnsi="Verdana" w:cs="Times New Roman"/>
          <w:b/>
          <w:bCs/>
          <w:i/>
          <w:iCs/>
          <w:color w:val="222222"/>
          <w:sz w:val="20"/>
          <w:szCs w:val="20"/>
          <w:u w:val="single"/>
          <w:lang w:eastAsia="es-ES"/>
        </w:rPr>
        <w:t>NO</w:t>
      </w:r>
      <w:r w:rsidRPr="00A62A36">
        <w:rPr>
          <w:rFonts w:ascii="Verdana" w:eastAsia="Times New Roman" w:hAnsi="Verdana" w:cs="Times New Roman"/>
          <w:color w:val="222222"/>
          <w:sz w:val="20"/>
          <w:szCs w:val="20"/>
          <w:lang w:eastAsia="es-ES"/>
        </w:rPr>
        <w:t> tiene Precálculo, se recomienda matricular el Taller de Nivelación II.</w:t>
      </w:r>
    </w:p>
    <w:p w:rsid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r w:rsidRPr="00A62A36">
        <w:rPr>
          <w:rFonts w:ascii="Verdana" w:eastAsia="Times New Roman" w:hAnsi="Verdana" w:cs="Times New Roman"/>
          <w:color w:val="222222"/>
          <w:sz w:val="20"/>
          <w:szCs w:val="20"/>
          <w:lang w:eastAsia="es-ES"/>
        </w:rPr>
        <w:t>- El inicio de lecciones será el miércoles 13 de febrero, y concluirán el viernes 01 de marzo. Las clases serán todos los días hábiles, 4 horas por día.</w:t>
      </w:r>
    </w:p>
    <w:p w:rsidR="00A62A36" w:rsidRP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r>
        <w:rPr>
          <w:rFonts w:ascii="Verdana" w:eastAsia="Times New Roman" w:hAnsi="Verdana" w:cs="Times New Roman"/>
          <w:color w:val="222222"/>
          <w:sz w:val="20"/>
          <w:szCs w:val="20"/>
          <w:lang w:eastAsia="es-ES"/>
        </w:rPr>
        <w:t>-</w:t>
      </w:r>
      <w:r w:rsidRPr="00A62A36">
        <w:rPr>
          <w:rFonts w:ascii="Verdana" w:hAnsi="Verdana"/>
          <w:color w:val="222222"/>
          <w:sz w:val="36"/>
          <w:szCs w:val="36"/>
          <w:shd w:val="clear" w:color="auto" w:fill="FFFFFF"/>
        </w:rPr>
        <w:t xml:space="preserve"> </w:t>
      </w:r>
      <w:r>
        <w:rPr>
          <w:rFonts w:ascii="Verdana" w:eastAsia="Times New Roman" w:hAnsi="Verdana" w:cs="Times New Roman"/>
          <w:color w:val="222222"/>
          <w:sz w:val="20"/>
          <w:szCs w:val="20"/>
          <w:lang w:eastAsia="es-ES"/>
        </w:rPr>
        <w:t xml:space="preserve">Los y las estudiantes </w:t>
      </w:r>
      <w:r w:rsidRPr="00A62A36">
        <w:rPr>
          <w:rFonts w:ascii="Verdana" w:eastAsia="Times New Roman" w:hAnsi="Verdana" w:cs="Times New Roman"/>
          <w:color w:val="222222"/>
          <w:sz w:val="20"/>
          <w:szCs w:val="20"/>
          <w:lang w:eastAsia="es-ES"/>
        </w:rPr>
        <w:t xml:space="preserve">que van a cursar la carrera de Educación Matemática o Enseñanza de la Matemática están invitadas a llevar un taller de nivelación especialmente pensado para ellas (independientemente de la nota obtenida en </w:t>
      </w:r>
      <w:proofErr w:type="spellStart"/>
      <w:r w:rsidRPr="00A62A36">
        <w:rPr>
          <w:rFonts w:ascii="Verdana" w:eastAsia="Times New Roman" w:hAnsi="Verdana" w:cs="Times New Roman"/>
          <w:color w:val="222222"/>
          <w:sz w:val="20"/>
          <w:szCs w:val="20"/>
          <w:lang w:eastAsia="es-ES"/>
        </w:rPr>
        <w:t>DiMa</w:t>
      </w:r>
      <w:proofErr w:type="spellEnd"/>
      <w:r w:rsidRPr="00A62A36">
        <w:rPr>
          <w:rFonts w:ascii="Verdana" w:eastAsia="Times New Roman" w:hAnsi="Verdana" w:cs="Times New Roman"/>
          <w:color w:val="222222"/>
          <w:sz w:val="20"/>
          <w:szCs w:val="20"/>
          <w:lang w:eastAsia="es-ES"/>
        </w:rPr>
        <w:t>).</w:t>
      </w:r>
    </w:p>
    <w:p w:rsidR="00A62A36" w:rsidRDefault="00A62A36" w:rsidP="00A62A36">
      <w:pPr>
        <w:shd w:val="clear" w:color="auto" w:fill="FFFFFF"/>
        <w:spacing w:before="100" w:beforeAutospacing="1" w:after="100" w:afterAutospacing="1" w:line="240" w:lineRule="auto"/>
        <w:rPr>
          <w:rFonts w:ascii="Verdana" w:eastAsia="Times New Roman" w:hAnsi="Verdana" w:cs="Times New Roman"/>
          <w:b/>
          <w:bCs/>
          <w:color w:val="222222"/>
          <w:sz w:val="20"/>
          <w:szCs w:val="20"/>
          <w:lang w:eastAsia="es-ES"/>
        </w:rPr>
      </w:pPr>
      <w:r>
        <w:rPr>
          <w:rFonts w:ascii="Verdana" w:eastAsia="Times New Roman" w:hAnsi="Verdana" w:cs="Times New Roman"/>
          <w:b/>
          <w:bCs/>
          <w:color w:val="222222"/>
          <w:sz w:val="20"/>
          <w:szCs w:val="20"/>
          <w:lang w:eastAsia="es-ES"/>
        </w:rPr>
        <w:t>-</w:t>
      </w:r>
      <w:r w:rsidRPr="00A62A36">
        <w:rPr>
          <w:rFonts w:ascii="Verdana" w:eastAsia="Times New Roman" w:hAnsi="Verdana" w:cs="Times New Roman"/>
          <w:b/>
          <w:bCs/>
          <w:color w:val="222222"/>
          <w:sz w:val="20"/>
          <w:szCs w:val="20"/>
          <w:lang w:eastAsia="es-ES"/>
        </w:rPr>
        <w:t>Los talleres son gratuitos y de cupo limitado. </w:t>
      </w:r>
    </w:p>
    <w:p w:rsid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p>
    <w:p w:rsidR="00A62A36" w:rsidRPr="00E63BF0" w:rsidRDefault="00A62A36" w:rsidP="00A62A36">
      <w:pPr>
        <w:shd w:val="clear" w:color="auto" w:fill="FFFFFF"/>
        <w:spacing w:before="100" w:beforeAutospacing="1" w:after="100" w:afterAutospacing="1" w:line="240" w:lineRule="auto"/>
        <w:rPr>
          <w:rFonts w:ascii="Trebuchet MS" w:eastAsia="Times New Roman" w:hAnsi="Trebuchet MS" w:cs="Times New Roman"/>
          <w:color w:val="500050"/>
          <w:sz w:val="24"/>
          <w:szCs w:val="24"/>
          <w:lang w:eastAsia="es-ES"/>
        </w:rPr>
      </w:pPr>
      <w:r w:rsidRPr="00E63BF0">
        <w:rPr>
          <w:rFonts w:ascii="Trebuchet MS" w:eastAsia="Times New Roman" w:hAnsi="Trebuchet MS" w:cs="Times New Roman"/>
          <w:color w:val="500050"/>
          <w:sz w:val="24"/>
          <w:szCs w:val="24"/>
          <w:lang w:eastAsia="es-ES"/>
        </w:rPr>
        <w:t>Toda la información detallada se encuentra en nuestra página </w:t>
      </w:r>
      <w:hyperlink r:id="rId7" w:tgtFrame="_blank" w:history="1">
        <w:r w:rsidRPr="00E63BF0">
          <w:rPr>
            <w:rFonts w:ascii="Trebuchet MS" w:eastAsia="Times New Roman" w:hAnsi="Trebuchet MS" w:cs="Times New Roman"/>
            <w:color w:val="1155CC"/>
            <w:sz w:val="24"/>
            <w:szCs w:val="24"/>
            <w:u w:val="single"/>
            <w:lang w:eastAsia="es-ES"/>
          </w:rPr>
          <w:t>www.diagnostico.emate.ucr.ac.cr</w:t>
        </w:r>
      </w:hyperlink>
    </w:p>
    <w:p w:rsidR="00A62A36" w:rsidRPr="00A62A36" w:rsidRDefault="00A62A36" w:rsidP="00A62A36">
      <w:pPr>
        <w:shd w:val="clear" w:color="auto" w:fill="FFFFFF"/>
        <w:spacing w:before="100" w:beforeAutospacing="1" w:after="100" w:afterAutospacing="1" w:line="240" w:lineRule="auto"/>
        <w:rPr>
          <w:rFonts w:ascii="Verdana" w:eastAsia="Times New Roman" w:hAnsi="Verdana" w:cs="Times New Roman"/>
          <w:color w:val="222222"/>
          <w:sz w:val="20"/>
          <w:szCs w:val="20"/>
          <w:lang w:eastAsia="es-ES"/>
        </w:rPr>
      </w:pPr>
      <w:bookmarkStart w:id="0" w:name="_GoBack"/>
      <w:bookmarkEnd w:id="0"/>
    </w:p>
    <w:p w:rsidR="00A62A36" w:rsidRDefault="00A62A36" w:rsidP="00A62A36">
      <w:pPr>
        <w:shd w:val="clear" w:color="auto" w:fill="FFFFFF"/>
        <w:spacing w:before="100" w:beforeAutospacing="1" w:after="100" w:afterAutospacing="1" w:line="240" w:lineRule="auto"/>
        <w:rPr>
          <w:rFonts w:ascii="Trebuchet MS" w:eastAsia="Times New Roman" w:hAnsi="Trebuchet MS" w:cs="Times New Roman"/>
          <w:color w:val="500050"/>
          <w:sz w:val="24"/>
          <w:szCs w:val="24"/>
          <w:lang w:eastAsia="es-ES"/>
        </w:rPr>
      </w:pPr>
    </w:p>
    <w:p w:rsidR="00A62A36" w:rsidRPr="00A62A36" w:rsidRDefault="00A62A36" w:rsidP="00A62A36">
      <w:pPr>
        <w:shd w:val="clear" w:color="auto" w:fill="FFFFFF"/>
        <w:spacing w:before="100" w:beforeAutospacing="1" w:after="100" w:afterAutospacing="1" w:line="240" w:lineRule="auto"/>
        <w:rPr>
          <w:rFonts w:ascii="Trebuchet MS" w:eastAsia="Times New Roman" w:hAnsi="Trebuchet MS" w:cs="Times New Roman"/>
          <w:color w:val="500050"/>
          <w:sz w:val="24"/>
          <w:szCs w:val="24"/>
          <w:lang w:eastAsia="es-ES"/>
        </w:rPr>
      </w:pPr>
    </w:p>
    <w:p w:rsidR="00A62A36" w:rsidRDefault="00A62A36" w:rsidP="00A62A36">
      <w:pPr>
        <w:spacing w:before="100" w:beforeAutospacing="1" w:after="100" w:afterAutospacing="1" w:line="240" w:lineRule="auto"/>
        <w:rPr>
          <w:rFonts w:ascii="Arial" w:eastAsia="Times New Roman" w:hAnsi="Arial" w:cs="Arial"/>
          <w:color w:val="333333"/>
          <w:sz w:val="20"/>
          <w:szCs w:val="20"/>
          <w:lang w:eastAsia="es-ES"/>
        </w:rPr>
      </w:pPr>
    </w:p>
    <w:p w:rsidR="00A62A36" w:rsidRPr="00003B59" w:rsidRDefault="00A62A36" w:rsidP="00A62A36">
      <w:pPr>
        <w:spacing w:before="100" w:beforeAutospacing="1" w:after="100" w:afterAutospacing="1" w:line="240" w:lineRule="auto"/>
        <w:rPr>
          <w:rFonts w:ascii="Arial" w:eastAsia="Times New Roman" w:hAnsi="Arial" w:cs="Arial"/>
          <w:color w:val="333333"/>
          <w:sz w:val="20"/>
          <w:szCs w:val="20"/>
          <w:lang w:eastAsia="es-ES"/>
        </w:rPr>
      </w:pPr>
    </w:p>
    <w:p w:rsidR="00003B59" w:rsidRDefault="00003B59"/>
    <w:sectPr w:rsidR="00003B59" w:rsidSect="00F35B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60DDC"/>
    <w:multiLevelType w:val="multilevel"/>
    <w:tmpl w:val="C18A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7018C"/>
    <w:multiLevelType w:val="multilevel"/>
    <w:tmpl w:val="291A270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42D06B45"/>
    <w:multiLevelType w:val="multilevel"/>
    <w:tmpl w:val="26CE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35772"/>
    <w:multiLevelType w:val="multilevel"/>
    <w:tmpl w:val="D4569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3BF0"/>
    <w:rsid w:val="00003B59"/>
    <w:rsid w:val="00215C8F"/>
    <w:rsid w:val="002E5833"/>
    <w:rsid w:val="003131AF"/>
    <w:rsid w:val="00644299"/>
    <w:rsid w:val="00A62A36"/>
    <w:rsid w:val="00B312E4"/>
    <w:rsid w:val="00DC1863"/>
    <w:rsid w:val="00E63BF0"/>
    <w:rsid w:val="00F32CA9"/>
    <w:rsid w:val="00F35B81"/>
    <w:rsid w:val="00F43DF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81"/>
  </w:style>
  <w:style w:type="paragraph" w:styleId="Ttulo2">
    <w:name w:val="heading 2"/>
    <w:basedOn w:val="Normal"/>
    <w:next w:val="Normal"/>
    <w:link w:val="Ttulo2Car"/>
    <w:uiPriority w:val="9"/>
    <w:unhideWhenUsed/>
    <w:qFormat/>
    <w:rsid w:val="00E63B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3B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63BF0"/>
    <w:rPr>
      <w:b/>
      <w:bCs/>
    </w:rPr>
  </w:style>
  <w:style w:type="character" w:styleId="Hipervnculo">
    <w:name w:val="Hyperlink"/>
    <w:basedOn w:val="Fuentedeprrafopredeter"/>
    <w:uiPriority w:val="99"/>
    <w:semiHidden/>
    <w:unhideWhenUsed/>
    <w:rsid w:val="00E63BF0"/>
    <w:rPr>
      <w:color w:val="0000FF"/>
      <w:u w:val="single"/>
    </w:rPr>
  </w:style>
  <w:style w:type="paragraph" w:styleId="Prrafodelista">
    <w:name w:val="List Paragraph"/>
    <w:basedOn w:val="Normal"/>
    <w:uiPriority w:val="34"/>
    <w:qFormat/>
    <w:rsid w:val="00E63BF0"/>
    <w:pPr>
      <w:ind w:left="720"/>
      <w:contextualSpacing/>
    </w:pPr>
  </w:style>
  <w:style w:type="character" w:customStyle="1" w:styleId="Ttulo2Car">
    <w:name w:val="Título 2 Car"/>
    <w:basedOn w:val="Fuentedeprrafopredeter"/>
    <w:link w:val="Ttulo2"/>
    <w:uiPriority w:val="9"/>
    <w:rsid w:val="00E63BF0"/>
    <w:rPr>
      <w:rFonts w:asciiTheme="majorHAnsi" w:eastAsiaTheme="majorEastAsia" w:hAnsiTheme="majorHAnsi" w:cstheme="majorBidi"/>
      <w:color w:val="2F5496" w:themeColor="accent1" w:themeShade="BF"/>
      <w:sz w:val="26"/>
      <w:szCs w:val="26"/>
    </w:rPr>
  </w:style>
  <w:style w:type="character" w:customStyle="1" w:styleId="scayt-misspell-word">
    <w:name w:val="scayt-misspell-word"/>
    <w:basedOn w:val="Fuentedeprrafopredeter"/>
    <w:rsid w:val="00003B59"/>
  </w:style>
</w:styles>
</file>

<file path=word/webSettings.xml><?xml version="1.0" encoding="utf-8"?>
<w:webSettings xmlns:r="http://schemas.openxmlformats.org/officeDocument/2006/relationships" xmlns:w="http://schemas.openxmlformats.org/wordprocessingml/2006/main">
  <w:divs>
    <w:div w:id="762536046">
      <w:bodyDiv w:val="1"/>
      <w:marLeft w:val="0"/>
      <w:marRight w:val="0"/>
      <w:marTop w:val="0"/>
      <w:marBottom w:val="0"/>
      <w:divBdr>
        <w:top w:val="none" w:sz="0" w:space="0" w:color="auto"/>
        <w:left w:val="none" w:sz="0" w:space="0" w:color="auto"/>
        <w:bottom w:val="none" w:sz="0" w:space="0" w:color="auto"/>
        <w:right w:val="none" w:sz="0" w:space="0" w:color="auto"/>
      </w:divBdr>
    </w:div>
    <w:div w:id="936985216">
      <w:bodyDiv w:val="1"/>
      <w:marLeft w:val="0"/>
      <w:marRight w:val="0"/>
      <w:marTop w:val="0"/>
      <w:marBottom w:val="0"/>
      <w:divBdr>
        <w:top w:val="none" w:sz="0" w:space="0" w:color="auto"/>
        <w:left w:val="none" w:sz="0" w:space="0" w:color="auto"/>
        <w:bottom w:val="none" w:sz="0" w:space="0" w:color="auto"/>
        <w:right w:val="none" w:sz="0" w:space="0" w:color="auto"/>
      </w:divBdr>
    </w:div>
    <w:div w:id="15012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agnostico.emate.ucr.ac.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gnostico.emate.ucr.ac.cr/" TargetMode="External"/><Relationship Id="rId5" Type="http://schemas.openxmlformats.org/officeDocument/2006/relationships/hyperlink" Target="http://www.diagnostico.emate.ucr.ac.c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SEAS MADRIGAL</dc:creator>
  <cp:lastModifiedBy>lleon</cp:lastModifiedBy>
  <cp:revision>2</cp:revision>
  <dcterms:created xsi:type="dcterms:W3CDTF">2019-01-15T16:08:00Z</dcterms:created>
  <dcterms:modified xsi:type="dcterms:W3CDTF">2019-01-15T16:08:00Z</dcterms:modified>
</cp:coreProperties>
</file>