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diagrams/drawing1.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A3" w:rsidRPr="00850337" w:rsidRDefault="004518A3" w:rsidP="00850337">
      <w:pPr>
        <w:pStyle w:val="Sinespaciado"/>
        <w:jc w:val="center"/>
        <w:rPr>
          <w:b/>
          <w:sz w:val="28"/>
          <w:szCs w:val="28"/>
        </w:rPr>
      </w:pPr>
      <w:bookmarkStart w:id="0" w:name="_Toc419207116"/>
      <w:r w:rsidRPr="00850337">
        <w:rPr>
          <w:b/>
          <w:sz w:val="28"/>
          <w:szCs w:val="28"/>
        </w:rPr>
        <w:t>Resultados</w:t>
      </w:r>
      <w:bookmarkEnd w:id="0"/>
      <w:r w:rsidR="00850337" w:rsidRPr="00850337">
        <w:rPr>
          <w:b/>
          <w:sz w:val="28"/>
          <w:szCs w:val="28"/>
        </w:rPr>
        <w:t xml:space="preserve"> de la encuesta de percepción</w:t>
      </w:r>
    </w:p>
    <w:p w:rsidR="00AD1494" w:rsidRPr="00973469" w:rsidRDefault="00AD1494" w:rsidP="00F91469">
      <w:pPr>
        <w:pStyle w:val="Sinespaciado"/>
      </w:pPr>
    </w:p>
    <w:p w:rsidR="004518A3" w:rsidRPr="00C2394C" w:rsidRDefault="004518A3" w:rsidP="00F91469">
      <w:pPr>
        <w:pStyle w:val="Sinespaciado"/>
        <w:rPr>
          <w:rFonts w:ascii="Myriad Pro" w:hAnsi="Myriad Pro"/>
        </w:rPr>
      </w:pPr>
      <w:r w:rsidRPr="00C2394C">
        <w:rPr>
          <w:rFonts w:ascii="Myriad Pro" w:hAnsi="Myriad Pro"/>
        </w:rPr>
        <w:t>En la tabla se muestran los resultados de tres puntos concretos de la infraestructura vial del país: el estado de las calles y carreteras, el estado de los puentes y el estado de las aceras, y dos escenarios de precepción entre el estado actual y un estado anterior.</w:t>
      </w:r>
    </w:p>
    <w:p w:rsidR="00DB07D9" w:rsidRPr="00C2394C" w:rsidRDefault="00DB07D9" w:rsidP="00DB07D9">
      <w:pPr>
        <w:pStyle w:val="Sinespaciado"/>
        <w:rPr>
          <w:rFonts w:ascii="Myriad Pro" w:hAnsi="Myriad Pro"/>
        </w:rPr>
      </w:pPr>
    </w:p>
    <w:p w:rsidR="004518A3" w:rsidRPr="00C2394C" w:rsidRDefault="004518A3" w:rsidP="00DB07D9">
      <w:pPr>
        <w:pStyle w:val="Sinespaciado"/>
        <w:rPr>
          <w:rFonts w:ascii="Myriad Pro" w:hAnsi="Myriad Pro"/>
        </w:rPr>
      </w:pPr>
      <w:bookmarkStart w:id="1" w:name="_Toc419189987"/>
      <w:r w:rsidRPr="00C2394C">
        <w:rPr>
          <w:rFonts w:ascii="Myriad Pro" w:hAnsi="Myriad Pro"/>
        </w:rPr>
        <w:t xml:space="preserve"> Calificación de la infraestructura según región en que reside el entrevistado</w:t>
      </w:r>
      <w:bookmarkEnd w:id="1"/>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999"/>
        <w:gridCol w:w="702"/>
        <w:gridCol w:w="297"/>
        <w:gridCol w:w="999"/>
        <w:gridCol w:w="405"/>
        <w:gridCol w:w="594"/>
        <w:gridCol w:w="1107"/>
        <w:gridCol w:w="891"/>
        <w:gridCol w:w="1070"/>
      </w:tblGrid>
      <w:tr w:rsidR="004518A3" w:rsidRPr="0025572F" w:rsidTr="00C2394C">
        <w:trPr>
          <w:trHeight w:val="300"/>
          <w:jc w:val="center"/>
        </w:trPr>
        <w:tc>
          <w:tcPr>
            <w:tcW w:w="2197"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Región</w:t>
            </w:r>
          </w:p>
        </w:tc>
        <w:tc>
          <w:tcPr>
            <w:tcW w:w="7064" w:type="dxa"/>
            <w:gridSpan w:val="9"/>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Estado  de las calles y carreteras del país</w:t>
            </w:r>
          </w:p>
        </w:tc>
      </w:tr>
      <w:tr w:rsidR="004518A3" w:rsidRPr="0025572F" w:rsidTr="00C2394C">
        <w:trPr>
          <w:trHeight w:val="300"/>
          <w:jc w:val="center"/>
        </w:trPr>
        <w:tc>
          <w:tcPr>
            <w:tcW w:w="2197"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p>
        </w:tc>
        <w:tc>
          <w:tcPr>
            <w:tcW w:w="999"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malas</w:t>
            </w:r>
          </w:p>
        </w:tc>
        <w:tc>
          <w:tcPr>
            <w:tcW w:w="999"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Malas</w:t>
            </w:r>
          </w:p>
        </w:tc>
        <w:tc>
          <w:tcPr>
            <w:tcW w:w="999"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Regular</w:t>
            </w:r>
          </w:p>
        </w:tc>
        <w:tc>
          <w:tcPr>
            <w:tcW w:w="999"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Buenas</w:t>
            </w:r>
          </w:p>
        </w:tc>
        <w:tc>
          <w:tcPr>
            <w:tcW w:w="110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buenas</w:t>
            </w:r>
          </w:p>
        </w:tc>
        <w:tc>
          <w:tcPr>
            <w:tcW w:w="891"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N</w:t>
            </w:r>
            <w:r>
              <w:rPr>
                <w:rFonts w:cs="Arial"/>
                <w:b/>
                <w:sz w:val="18"/>
                <w:szCs w:val="20"/>
                <w:lang w:eastAsia="es-CR"/>
              </w:rPr>
              <w:t>R</w:t>
            </w:r>
          </w:p>
        </w:tc>
        <w:tc>
          <w:tcPr>
            <w:tcW w:w="1070"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Total</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Metropolitana</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39,6</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31,1</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19,6</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8,2</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1,2</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0,3</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Valle Central</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38,6</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31,7</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19,9</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8,5</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1,3</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0</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país</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28,6</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29,8</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27,4</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9,9</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2,8</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1,6</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100</w:t>
            </w:r>
          </w:p>
        </w:tc>
      </w:tr>
      <w:tr w:rsidR="004518A3" w:rsidRPr="003B1CFC" w:rsidTr="00C2394C">
        <w:trPr>
          <w:trHeight w:val="300"/>
          <w:jc w:val="center"/>
        </w:trPr>
        <w:tc>
          <w:tcPr>
            <w:tcW w:w="219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Todas las regiones</w:t>
            </w:r>
          </w:p>
        </w:tc>
        <w:tc>
          <w:tcPr>
            <w:tcW w:w="999"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37</w:t>
            </w:r>
          </w:p>
        </w:tc>
        <w:tc>
          <w:tcPr>
            <w:tcW w:w="999"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30,9</w:t>
            </w:r>
          </w:p>
        </w:tc>
        <w:tc>
          <w:tcPr>
            <w:tcW w:w="999"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21,3</w:t>
            </w:r>
          </w:p>
        </w:tc>
        <w:tc>
          <w:tcPr>
            <w:tcW w:w="999"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8,6</w:t>
            </w:r>
          </w:p>
        </w:tc>
        <w:tc>
          <w:tcPr>
            <w:tcW w:w="110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1,6</w:t>
            </w:r>
          </w:p>
        </w:tc>
        <w:tc>
          <w:tcPr>
            <w:tcW w:w="89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0,5</w:t>
            </w:r>
          </w:p>
        </w:tc>
        <w:tc>
          <w:tcPr>
            <w:tcW w:w="1070"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100</w:t>
            </w:r>
          </w:p>
        </w:tc>
      </w:tr>
      <w:tr w:rsidR="004518A3" w:rsidRPr="0025572F" w:rsidTr="00C2394C">
        <w:trPr>
          <w:trHeight w:val="300"/>
          <w:jc w:val="center"/>
        </w:trPr>
        <w:tc>
          <w:tcPr>
            <w:tcW w:w="2197"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Región</w:t>
            </w:r>
          </w:p>
        </w:tc>
        <w:tc>
          <w:tcPr>
            <w:tcW w:w="7064" w:type="dxa"/>
            <w:gridSpan w:val="9"/>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Estado de los puentes</w:t>
            </w:r>
          </w:p>
        </w:tc>
      </w:tr>
      <w:tr w:rsidR="004518A3" w:rsidRPr="0025572F" w:rsidTr="00C2394C">
        <w:trPr>
          <w:trHeight w:val="300"/>
          <w:jc w:val="center"/>
        </w:trPr>
        <w:tc>
          <w:tcPr>
            <w:tcW w:w="2197"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p>
        </w:tc>
        <w:tc>
          <w:tcPr>
            <w:tcW w:w="999"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Muy malas</w:t>
            </w:r>
          </w:p>
        </w:tc>
        <w:tc>
          <w:tcPr>
            <w:tcW w:w="999"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Malas</w:t>
            </w:r>
          </w:p>
        </w:tc>
        <w:tc>
          <w:tcPr>
            <w:tcW w:w="999"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Regular</w:t>
            </w:r>
          </w:p>
        </w:tc>
        <w:tc>
          <w:tcPr>
            <w:tcW w:w="999"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Buenas</w:t>
            </w:r>
          </w:p>
        </w:tc>
        <w:tc>
          <w:tcPr>
            <w:tcW w:w="110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Muy buenas</w:t>
            </w:r>
          </w:p>
        </w:tc>
        <w:tc>
          <w:tcPr>
            <w:tcW w:w="891"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NR</w:t>
            </w:r>
          </w:p>
        </w:tc>
        <w:tc>
          <w:tcPr>
            <w:tcW w:w="1070"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20"/>
                <w:lang w:eastAsia="es-CR"/>
              </w:rPr>
              <w:t>Total</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Metropolitana</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31,2</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33,3</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25,1</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8,4</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0,9</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1,1</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Valle Central</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25,8</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34</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30,4</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8,2</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1,6</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país</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22,6</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29</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33,7</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11,5</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0,8</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2,4</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3B1CFC" w:rsidTr="00C2394C">
        <w:trPr>
          <w:trHeight w:val="300"/>
          <w:jc w:val="center"/>
        </w:trPr>
        <w:tc>
          <w:tcPr>
            <w:tcW w:w="219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20"/>
                <w:lang w:eastAsia="es-CR"/>
              </w:rPr>
              <w:t>Todas las regiones</w:t>
            </w:r>
          </w:p>
        </w:tc>
        <w:tc>
          <w:tcPr>
            <w:tcW w:w="999"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28,1</w:t>
            </w:r>
          </w:p>
        </w:tc>
        <w:tc>
          <w:tcPr>
            <w:tcW w:w="999"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32,6</w:t>
            </w:r>
          </w:p>
        </w:tc>
        <w:tc>
          <w:tcPr>
            <w:tcW w:w="999"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28,2</w:t>
            </w:r>
          </w:p>
        </w:tc>
        <w:tc>
          <w:tcPr>
            <w:tcW w:w="999"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9</w:t>
            </w:r>
          </w:p>
        </w:tc>
        <w:tc>
          <w:tcPr>
            <w:tcW w:w="110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0,7</w:t>
            </w:r>
          </w:p>
        </w:tc>
        <w:tc>
          <w:tcPr>
            <w:tcW w:w="89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1,5</w:t>
            </w:r>
          </w:p>
        </w:tc>
        <w:tc>
          <w:tcPr>
            <w:tcW w:w="1070"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100</w:t>
            </w:r>
          </w:p>
        </w:tc>
      </w:tr>
      <w:tr w:rsidR="004518A3" w:rsidRPr="0025572F" w:rsidTr="00C2394C">
        <w:trPr>
          <w:trHeight w:val="300"/>
          <w:jc w:val="center"/>
        </w:trPr>
        <w:tc>
          <w:tcPr>
            <w:tcW w:w="2197"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Región</w:t>
            </w:r>
          </w:p>
        </w:tc>
        <w:tc>
          <w:tcPr>
            <w:tcW w:w="7064" w:type="dxa"/>
            <w:gridSpan w:val="9"/>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Estado las aceras del país</w:t>
            </w:r>
          </w:p>
        </w:tc>
      </w:tr>
      <w:tr w:rsidR="004518A3" w:rsidRPr="0025572F" w:rsidTr="00C2394C">
        <w:trPr>
          <w:trHeight w:val="300"/>
          <w:jc w:val="center"/>
        </w:trPr>
        <w:tc>
          <w:tcPr>
            <w:tcW w:w="2197"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p>
        </w:tc>
        <w:tc>
          <w:tcPr>
            <w:tcW w:w="999"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Muy malas</w:t>
            </w:r>
          </w:p>
        </w:tc>
        <w:tc>
          <w:tcPr>
            <w:tcW w:w="999"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Malas</w:t>
            </w:r>
          </w:p>
        </w:tc>
        <w:tc>
          <w:tcPr>
            <w:tcW w:w="999"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Regular</w:t>
            </w:r>
          </w:p>
        </w:tc>
        <w:tc>
          <w:tcPr>
            <w:tcW w:w="999"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Buenas</w:t>
            </w:r>
          </w:p>
        </w:tc>
        <w:tc>
          <w:tcPr>
            <w:tcW w:w="110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Muy buenas</w:t>
            </w:r>
          </w:p>
        </w:tc>
        <w:tc>
          <w:tcPr>
            <w:tcW w:w="891"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NR</w:t>
            </w:r>
          </w:p>
        </w:tc>
        <w:tc>
          <w:tcPr>
            <w:tcW w:w="1070"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20"/>
                <w:lang w:eastAsia="es-CR"/>
              </w:rPr>
              <w:t>Total</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Metropolitana</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40,8</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29,8</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20,5</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7,5</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1,1</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0,3</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Valle Central</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38,2</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26,5</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20,9</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13,4</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0,7</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0,3</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país</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30,2</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28,2</w:t>
            </w:r>
          </w:p>
        </w:tc>
        <w:tc>
          <w:tcPr>
            <w:tcW w:w="999"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26,6</w:t>
            </w:r>
          </w:p>
        </w:tc>
        <w:tc>
          <w:tcPr>
            <w:tcW w:w="999"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9,1</w:t>
            </w:r>
          </w:p>
        </w:tc>
        <w:tc>
          <w:tcPr>
            <w:tcW w:w="110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0,8</w:t>
            </w:r>
          </w:p>
        </w:tc>
        <w:tc>
          <w:tcPr>
            <w:tcW w:w="89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5,2</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3B1CFC" w:rsidTr="00C2394C">
        <w:trPr>
          <w:trHeight w:val="300"/>
          <w:jc w:val="center"/>
        </w:trPr>
        <w:tc>
          <w:tcPr>
            <w:tcW w:w="219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20"/>
                <w:lang w:eastAsia="es-CR"/>
              </w:rPr>
              <w:t>Todas las regiones</w:t>
            </w:r>
          </w:p>
        </w:tc>
        <w:tc>
          <w:tcPr>
            <w:tcW w:w="999"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37,9</w:t>
            </w:r>
          </w:p>
        </w:tc>
        <w:tc>
          <w:tcPr>
            <w:tcW w:w="999"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28,6</w:t>
            </w:r>
          </w:p>
        </w:tc>
        <w:tc>
          <w:tcPr>
            <w:tcW w:w="999"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21,9</w:t>
            </w:r>
          </w:p>
        </w:tc>
        <w:tc>
          <w:tcPr>
            <w:tcW w:w="999"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9,3</w:t>
            </w:r>
          </w:p>
        </w:tc>
        <w:tc>
          <w:tcPr>
            <w:tcW w:w="110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0,9</w:t>
            </w:r>
          </w:p>
        </w:tc>
        <w:tc>
          <w:tcPr>
            <w:tcW w:w="89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1,3</w:t>
            </w:r>
          </w:p>
        </w:tc>
        <w:tc>
          <w:tcPr>
            <w:tcW w:w="1070"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100</w:t>
            </w:r>
          </w:p>
        </w:tc>
      </w:tr>
      <w:tr w:rsidR="004518A3" w:rsidRPr="0025572F" w:rsidTr="00C2394C">
        <w:trPr>
          <w:trHeight w:val="300"/>
          <w:jc w:val="center"/>
        </w:trPr>
        <w:tc>
          <w:tcPr>
            <w:tcW w:w="2197"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Región</w:t>
            </w:r>
          </w:p>
        </w:tc>
        <w:tc>
          <w:tcPr>
            <w:tcW w:w="7064" w:type="dxa"/>
            <w:gridSpan w:val="9"/>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¿El estado actual de las calles y carreteras en comparación a que hace tres años?</w:t>
            </w:r>
          </w:p>
        </w:tc>
      </w:tr>
      <w:tr w:rsidR="004518A3" w:rsidRPr="0025572F" w:rsidTr="00C2394C">
        <w:trPr>
          <w:trHeight w:val="300"/>
          <w:jc w:val="center"/>
        </w:trPr>
        <w:tc>
          <w:tcPr>
            <w:tcW w:w="2197"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p>
        </w:tc>
        <w:tc>
          <w:tcPr>
            <w:tcW w:w="1701"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Peor</w:t>
            </w:r>
          </w:p>
        </w:tc>
        <w:tc>
          <w:tcPr>
            <w:tcW w:w="1701" w:type="dxa"/>
            <w:gridSpan w:val="3"/>
            <w:shd w:val="clear" w:color="auto" w:fill="BFBFBF" w:themeFill="background1" w:themeFillShade="BF"/>
            <w:tcMar>
              <w:left w:w="0" w:type="dxa"/>
              <w:right w:w="0" w:type="dxa"/>
            </w:tcMar>
            <w:vAlign w:val="center"/>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Igual</w:t>
            </w:r>
          </w:p>
        </w:tc>
        <w:tc>
          <w:tcPr>
            <w:tcW w:w="1701"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Mejor</w:t>
            </w:r>
          </w:p>
        </w:tc>
        <w:tc>
          <w:tcPr>
            <w:tcW w:w="891" w:type="dxa"/>
            <w:shd w:val="clear" w:color="auto" w:fill="BFBFBF" w:themeFill="background1" w:themeFillShade="BF"/>
            <w:tcMar>
              <w:left w:w="0" w:type="dxa"/>
              <w:right w:w="0" w:type="dxa"/>
            </w:tcMar>
            <w:vAlign w:val="center"/>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NR</w:t>
            </w:r>
          </w:p>
        </w:tc>
        <w:tc>
          <w:tcPr>
            <w:tcW w:w="1070"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20"/>
                <w:lang w:eastAsia="es-CR"/>
              </w:rPr>
              <w:t>Total</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Metropolitana</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36,2</w:t>
            </w:r>
          </w:p>
        </w:tc>
        <w:tc>
          <w:tcPr>
            <w:tcW w:w="1701" w:type="dxa"/>
            <w:gridSpan w:val="3"/>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41,9</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19,8</w:t>
            </w:r>
          </w:p>
        </w:tc>
        <w:tc>
          <w:tcPr>
            <w:tcW w:w="891" w:type="dxa"/>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2,1</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Valle Central</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37,3</w:t>
            </w:r>
          </w:p>
        </w:tc>
        <w:tc>
          <w:tcPr>
            <w:tcW w:w="1701" w:type="dxa"/>
            <w:gridSpan w:val="3"/>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37,6</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24,5</w:t>
            </w:r>
          </w:p>
        </w:tc>
        <w:tc>
          <w:tcPr>
            <w:tcW w:w="891" w:type="dxa"/>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0,7</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país</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31,3</w:t>
            </w:r>
          </w:p>
        </w:tc>
        <w:tc>
          <w:tcPr>
            <w:tcW w:w="1701" w:type="dxa"/>
            <w:gridSpan w:val="3"/>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39,7</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27</w:t>
            </w:r>
          </w:p>
        </w:tc>
        <w:tc>
          <w:tcPr>
            <w:tcW w:w="891" w:type="dxa"/>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3B1CFC" w:rsidTr="00C2394C">
        <w:trPr>
          <w:trHeight w:val="300"/>
          <w:jc w:val="center"/>
        </w:trPr>
        <w:tc>
          <w:tcPr>
            <w:tcW w:w="219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20"/>
                <w:lang w:eastAsia="es-CR"/>
              </w:rPr>
              <w:t>Todas las regiones</w:t>
            </w:r>
          </w:p>
        </w:tc>
        <w:tc>
          <w:tcPr>
            <w:tcW w:w="1701"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35,5</w:t>
            </w:r>
          </w:p>
        </w:tc>
        <w:tc>
          <w:tcPr>
            <w:tcW w:w="1701" w:type="dxa"/>
            <w:gridSpan w:val="3"/>
            <w:shd w:val="clear" w:color="auto" w:fill="auto"/>
            <w:tcMar>
              <w:left w:w="0" w:type="dxa"/>
              <w:right w:w="0" w:type="dxa"/>
            </w:tcMar>
            <w:vAlign w:val="center"/>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40,3</w:t>
            </w:r>
          </w:p>
        </w:tc>
        <w:tc>
          <w:tcPr>
            <w:tcW w:w="1701"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22,5</w:t>
            </w:r>
          </w:p>
        </w:tc>
        <w:tc>
          <w:tcPr>
            <w:tcW w:w="891" w:type="dxa"/>
            <w:shd w:val="clear" w:color="auto" w:fill="auto"/>
            <w:tcMar>
              <w:left w:w="0" w:type="dxa"/>
              <w:right w:w="0" w:type="dxa"/>
            </w:tcMar>
            <w:vAlign w:val="center"/>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1,7</w:t>
            </w:r>
          </w:p>
        </w:tc>
        <w:tc>
          <w:tcPr>
            <w:tcW w:w="1070"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100</w:t>
            </w:r>
          </w:p>
        </w:tc>
      </w:tr>
      <w:tr w:rsidR="004518A3" w:rsidRPr="0025572F" w:rsidTr="00C2394C">
        <w:trPr>
          <w:trHeight w:val="300"/>
          <w:jc w:val="center"/>
        </w:trPr>
        <w:tc>
          <w:tcPr>
            <w:tcW w:w="2197"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Región</w:t>
            </w:r>
          </w:p>
        </w:tc>
        <w:tc>
          <w:tcPr>
            <w:tcW w:w="7064" w:type="dxa"/>
            <w:gridSpan w:val="9"/>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¿El estado actual de las calles y carreteras comparación a que hace diez años?</w:t>
            </w:r>
          </w:p>
        </w:tc>
      </w:tr>
      <w:tr w:rsidR="004518A3" w:rsidRPr="0025572F" w:rsidTr="00C2394C">
        <w:trPr>
          <w:trHeight w:val="300"/>
          <w:jc w:val="center"/>
        </w:trPr>
        <w:tc>
          <w:tcPr>
            <w:tcW w:w="2197"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p>
        </w:tc>
        <w:tc>
          <w:tcPr>
            <w:tcW w:w="1701"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Peor</w:t>
            </w:r>
          </w:p>
        </w:tc>
        <w:tc>
          <w:tcPr>
            <w:tcW w:w="1701" w:type="dxa"/>
            <w:gridSpan w:val="3"/>
            <w:shd w:val="clear" w:color="auto" w:fill="BFBFBF" w:themeFill="background1" w:themeFillShade="BF"/>
            <w:tcMar>
              <w:left w:w="0" w:type="dxa"/>
              <w:right w:w="0" w:type="dxa"/>
            </w:tcMar>
            <w:vAlign w:val="center"/>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Igual</w:t>
            </w:r>
          </w:p>
        </w:tc>
        <w:tc>
          <w:tcPr>
            <w:tcW w:w="1701" w:type="dxa"/>
            <w:gridSpan w:val="2"/>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Mejor</w:t>
            </w:r>
          </w:p>
        </w:tc>
        <w:tc>
          <w:tcPr>
            <w:tcW w:w="891" w:type="dxa"/>
            <w:shd w:val="clear" w:color="auto" w:fill="BFBFBF" w:themeFill="background1" w:themeFillShade="BF"/>
            <w:tcMar>
              <w:left w:w="0" w:type="dxa"/>
              <w:right w:w="0" w:type="dxa"/>
            </w:tcMar>
            <w:vAlign w:val="center"/>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NR</w:t>
            </w:r>
          </w:p>
        </w:tc>
        <w:tc>
          <w:tcPr>
            <w:tcW w:w="1070"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20"/>
                <w:lang w:eastAsia="es-CR"/>
              </w:rPr>
              <w:t>Total</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Metropolitana</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29,8</w:t>
            </w:r>
          </w:p>
        </w:tc>
        <w:tc>
          <w:tcPr>
            <w:tcW w:w="1701" w:type="dxa"/>
            <w:gridSpan w:val="3"/>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26,6</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37,7</w:t>
            </w:r>
          </w:p>
        </w:tc>
        <w:tc>
          <w:tcPr>
            <w:tcW w:w="891" w:type="dxa"/>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5,8</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Valle Central</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30,7</w:t>
            </w:r>
          </w:p>
        </w:tc>
        <w:tc>
          <w:tcPr>
            <w:tcW w:w="1701" w:type="dxa"/>
            <w:gridSpan w:val="3"/>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22,5</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41,5</w:t>
            </w:r>
          </w:p>
        </w:tc>
        <w:tc>
          <w:tcPr>
            <w:tcW w:w="891" w:type="dxa"/>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5,2</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país</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24,6</w:t>
            </w:r>
          </w:p>
        </w:tc>
        <w:tc>
          <w:tcPr>
            <w:tcW w:w="1701" w:type="dxa"/>
            <w:gridSpan w:val="3"/>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26,6</w:t>
            </w:r>
          </w:p>
        </w:tc>
        <w:tc>
          <w:tcPr>
            <w:tcW w:w="1701" w:type="dxa"/>
            <w:gridSpan w:val="2"/>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42,5</w:t>
            </w:r>
          </w:p>
        </w:tc>
        <w:tc>
          <w:tcPr>
            <w:tcW w:w="891" w:type="dxa"/>
            <w:shd w:val="clear" w:color="auto" w:fill="auto"/>
            <w:tcMar>
              <w:left w:w="0" w:type="dxa"/>
              <w:right w:w="0" w:type="dxa"/>
            </w:tcMar>
            <w:vAlign w:val="center"/>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6,3</w:t>
            </w:r>
          </w:p>
        </w:tc>
        <w:tc>
          <w:tcPr>
            <w:tcW w:w="1070"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100</w:t>
            </w:r>
          </w:p>
        </w:tc>
      </w:tr>
      <w:tr w:rsidR="004518A3" w:rsidRPr="0025572F" w:rsidTr="00C2394C">
        <w:trPr>
          <w:trHeight w:val="300"/>
          <w:jc w:val="center"/>
        </w:trPr>
        <w:tc>
          <w:tcPr>
            <w:tcW w:w="2197"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20"/>
                <w:lang w:eastAsia="es-CR"/>
              </w:rPr>
              <w:t>Todas las regiones</w:t>
            </w:r>
          </w:p>
        </w:tc>
        <w:tc>
          <w:tcPr>
            <w:tcW w:w="1701"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29,0</w:t>
            </w:r>
          </w:p>
        </w:tc>
        <w:tc>
          <w:tcPr>
            <w:tcW w:w="1701" w:type="dxa"/>
            <w:gridSpan w:val="3"/>
            <w:shd w:val="clear" w:color="auto" w:fill="auto"/>
            <w:tcMar>
              <w:left w:w="0" w:type="dxa"/>
              <w:right w:w="0" w:type="dxa"/>
            </w:tcMar>
            <w:vAlign w:val="center"/>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25,6</w:t>
            </w:r>
          </w:p>
        </w:tc>
        <w:tc>
          <w:tcPr>
            <w:tcW w:w="1701" w:type="dxa"/>
            <w:gridSpan w:val="2"/>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39,7</w:t>
            </w:r>
          </w:p>
        </w:tc>
        <w:tc>
          <w:tcPr>
            <w:tcW w:w="891" w:type="dxa"/>
            <w:shd w:val="clear" w:color="auto" w:fill="auto"/>
            <w:tcMar>
              <w:left w:w="0" w:type="dxa"/>
              <w:right w:w="0" w:type="dxa"/>
            </w:tcMar>
            <w:vAlign w:val="center"/>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5,8</w:t>
            </w:r>
          </w:p>
        </w:tc>
        <w:tc>
          <w:tcPr>
            <w:tcW w:w="1070"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18"/>
                <w:lang w:eastAsia="es-CR"/>
              </w:rPr>
              <w:t>100</w:t>
            </w:r>
          </w:p>
        </w:tc>
      </w:tr>
    </w:tbl>
    <w:p w:rsidR="00C2394C" w:rsidRDefault="004518A3" w:rsidP="00F60AB1">
      <w:pPr>
        <w:spacing w:after="0"/>
        <w:jc w:val="center"/>
        <w:rPr>
          <w:sz w:val="16"/>
          <w:szCs w:val="16"/>
        </w:rPr>
      </w:pPr>
      <w:r w:rsidRPr="00F60AB1">
        <w:rPr>
          <w:sz w:val="16"/>
          <w:szCs w:val="16"/>
        </w:rPr>
        <w:t>Fuente: Encuesta Percepción de la Red Vial del país LanammeUCR - CIEP. 2014</w:t>
      </w:r>
    </w:p>
    <w:p w:rsidR="00D1095F" w:rsidRPr="00F60AB1" w:rsidRDefault="00D1095F" w:rsidP="00F60AB1">
      <w:pPr>
        <w:spacing w:after="0"/>
        <w:jc w:val="center"/>
        <w:rPr>
          <w:sz w:val="16"/>
          <w:szCs w:val="16"/>
        </w:rPr>
      </w:pPr>
    </w:p>
    <w:p w:rsidR="004518A3" w:rsidRDefault="004518A3" w:rsidP="00C2394C">
      <w:pPr>
        <w:pStyle w:val="Sinespaciado"/>
        <w:rPr>
          <w:rFonts w:ascii="Myriad Pro" w:hAnsi="Myriad Pro"/>
        </w:rPr>
      </w:pPr>
      <w:r w:rsidRPr="00C2394C">
        <w:rPr>
          <w:rFonts w:ascii="Myriad Pro" w:hAnsi="Myriad Pro"/>
        </w:rPr>
        <w:t>En cuanto al estado de las calles y carreteras del país, cerca del 70% de la población opina que están malas o muy malas, situación similar en cada una de las regiones. En relación del estado actual con el estado de hace tres años, seis de cada diez las cataloga como mejor o iguales. En comparación con hace diez años  el 65,3% cree que están mejor o igual. Seis de cada diez entrevistados opinan que el estado de los puentes es malo o muy malo, observándose una diferencia entre los residentes en la región Metropolitana y resto del país, en donde  la opinión de este último es más favorable. En cuanto a las aceras del país 66,6% de los entrevistados opinan que están malas o muy malas.</w:t>
      </w:r>
    </w:p>
    <w:p w:rsidR="00850337" w:rsidRPr="00C2394C" w:rsidRDefault="00850337" w:rsidP="00C2394C">
      <w:pPr>
        <w:pStyle w:val="Sinespaciado"/>
        <w:rPr>
          <w:rFonts w:ascii="Myriad Pro" w:hAnsi="Myriad Pro"/>
        </w:rPr>
      </w:pPr>
    </w:p>
    <w:p w:rsidR="004518A3" w:rsidRPr="00C2394C" w:rsidRDefault="004518A3" w:rsidP="00C2394C">
      <w:pPr>
        <w:pStyle w:val="Sinespaciado"/>
        <w:rPr>
          <w:rFonts w:ascii="Myriad Pro" w:hAnsi="Myriad Pro"/>
        </w:rPr>
      </w:pPr>
      <w:r w:rsidRPr="00C2394C">
        <w:rPr>
          <w:rFonts w:ascii="Myriad Pro" w:hAnsi="Myriad Pro"/>
        </w:rPr>
        <w:t>Las escalas desde muy malo a muy bueno se transformaron a una nota de 0 a 100 donde 0 es la peor y 100 la mejor, los resultados se muestran en la</w:t>
      </w:r>
      <w:r w:rsidR="00850337">
        <w:rPr>
          <w:rFonts w:ascii="Myriad Pro" w:hAnsi="Myriad Pro"/>
        </w:rPr>
        <w:t xml:space="preserve"> siguiente</w:t>
      </w:r>
      <w:r w:rsidRPr="00C2394C">
        <w:rPr>
          <w:rFonts w:ascii="Myriad Pro" w:hAnsi="Myriad Pro"/>
        </w:rPr>
        <w:t>.</w:t>
      </w:r>
    </w:p>
    <w:p w:rsidR="00C2394C" w:rsidRPr="00C2394C" w:rsidRDefault="00C2394C" w:rsidP="00C2394C">
      <w:pPr>
        <w:pStyle w:val="Sinespaciado"/>
      </w:pPr>
    </w:p>
    <w:tbl>
      <w:tblPr>
        <w:tblStyle w:val="Tablaconcuadrcula"/>
        <w:tblW w:w="0" w:type="auto"/>
        <w:tblLook w:val="04A0"/>
      </w:tblPr>
      <w:tblGrid>
        <w:gridCol w:w="8616"/>
      </w:tblGrid>
      <w:tr w:rsidR="004518A3" w:rsidRPr="00CF2F91" w:rsidTr="00BF0536">
        <w:trPr>
          <w:trHeight w:val="3173"/>
        </w:trPr>
        <w:tc>
          <w:tcPr>
            <w:tcW w:w="8616" w:type="dxa"/>
            <w:vAlign w:val="center"/>
          </w:tcPr>
          <w:p w:rsidR="004518A3" w:rsidRPr="00CF2F91" w:rsidRDefault="004518A3" w:rsidP="00C2394C">
            <w:pPr>
              <w:jc w:val="center"/>
              <w:rPr>
                <w:lang w:val="es-CR"/>
              </w:rPr>
            </w:pPr>
            <w:r w:rsidRPr="00CF2F91">
              <w:rPr>
                <w:noProof/>
              </w:rPr>
              <w:drawing>
                <wp:inline distT="0" distB="0" distL="0" distR="0">
                  <wp:extent cx="5168348" cy="2433099"/>
                  <wp:effectExtent l="0" t="0" r="0" b="0"/>
                  <wp:docPr id="3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518A3" w:rsidRPr="007923A1" w:rsidRDefault="004518A3" w:rsidP="007923A1">
            <w:pPr>
              <w:pStyle w:val="Prrafodelista"/>
              <w:ind w:hanging="720"/>
              <w:jc w:val="center"/>
              <w:rPr>
                <w:sz w:val="16"/>
                <w:szCs w:val="16"/>
                <w:lang w:val="es-CR"/>
              </w:rPr>
            </w:pPr>
            <w:r w:rsidRPr="007923A1">
              <w:rPr>
                <w:sz w:val="16"/>
                <w:szCs w:val="16"/>
                <w:lang w:val="es-CR"/>
              </w:rPr>
              <w:t>Fuente: Encuesta Percepción de la Red Vial del país LanammeUCR - CIEP. 2014</w:t>
            </w:r>
          </w:p>
        </w:tc>
      </w:tr>
    </w:tbl>
    <w:p w:rsidR="004518A3" w:rsidRDefault="004518A3" w:rsidP="004518A3">
      <w:pPr>
        <w:jc w:val="center"/>
      </w:pPr>
      <w:bookmarkStart w:id="2" w:name="_Toc419189946"/>
      <w:r w:rsidRPr="0075468B">
        <w:t xml:space="preserve">Notas de 0 a 100 para </w:t>
      </w:r>
      <w:r>
        <w:t xml:space="preserve">aceras, </w:t>
      </w:r>
      <w:r w:rsidRPr="0075468B">
        <w:t>calles/carreteras</w:t>
      </w:r>
      <w:r>
        <w:t xml:space="preserve"> y</w:t>
      </w:r>
      <w:r w:rsidRPr="0075468B">
        <w:t xml:space="preserve"> puentes</w:t>
      </w:r>
      <w:r>
        <w:t>.</w:t>
      </w:r>
      <w:bookmarkEnd w:id="2"/>
    </w:p>
    <w:p w:rsidR="004518A3" w:rsidRPr="00C2394C" w:rsidRDefault="004518A3" w:rsidP="00C2394C">
      <w:pPr>
        <w:pStyle w:val="Sinespaciado"/>
      </w:pPr>
      <w:r w:rsidRPr="00C2394C">
        <w:t>Numéricamente tanto aceras, calles/carreteras y puentes “reprueban” en su estado actual pues obtienen 26, 26 y 30 respectivamente (</w:t>
      </w:r>
      <w:r w:rsidR="00850337">
        <w:t>figura anterior</w:t>
      </w:r>
      <w:r w:rsidRPr="00C2394C">
        <w:t xml:space="preserve">). Tomando en cuenta el margen de error no se distinguen diferencias entre la valoración de calles/carreteras y aceras, mientras que sí hay una mejor valoración de los puentes, por encima del error </w:t>
      </w:r>
      <w:proofErr w:type="spellStart"/>
      <w:r w:rsidRPr="00C2394C">
        <w:t>muestral</w:t>
      </w:r>
      <w:proofErr w:type="spellEnd"/>
      <w:r w:rsidRPr="00C2394C">
        <w:t>.</w:t>
      </w:r>
    </w:p>
    <w:p w:rsidR="004518A3" w:rsidRPr="00C2394C" w:rsidRDefault="004518A3" w:rsidP="00C2394C">
      <w:pPr>
        <w:pStyle w:val="Sinespaciado"/>
      </w:pPr>
    </w:p>
    <w:p w:rsidR="004518A3" w:rsidRDefault="004518A3" w:rsidP="00C2394C">
      <w:pPr>
        <w:pStyle w:val="Sinespaciado"/>
      </w:pPr>
      <w:r w:rsidRPr="00C2394C">
        <w:t xml:space="preserve">Adicionalmente al examen de la infraestructura en general, se particularizó en cinco vías nacionales importantes que conectan el país de norte a sur y de oeste a este, los resultados se pueden observar en la siguiente tabla. </w:t>
      </w:r>
    </w:p>
    <w:p w:rsidR="00BF0536" w:rsidRPr="00C2394C" w:rsidRDefault="00BF0536" w:rsidP="00C2394C">
      <w:pPr>
        <w:pStyle w:val="Sinespaciado"/>
      </w:pPr>
    </w:p>
    <w:p w:rsidR="004518A3" w:rsidRPr="005C392C" w:rsidRDefault="004518A3" w:rsidP="004518A3">
      <w:pPr>
        <w:spacing w:line="240" w:lineRule="auto"/>
      </w:pPr>
      <w:bookmarkStart w:id="3" w:name="_Toc419189988"/>
      <w:r w:rsidRPr="005C392C">
        <w:t>Calificación de las rutas nacionales por parte de los entrevistados según región</w:t>
      </w:r>
      <w:r>
        <w:t>.</w:t>
      </w:r>
      <w:bookmarkEnd w:id="3"/>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51"/>
        <w:gridCol w:w="932"/>
        <w:gridCol w:w="965"/>
        <w:gridCol w:w="964"/>
        <w:gridCol w:w="855"/>
        <w:gridCol w:w="992"/>
        <w:gridCol w:w="1205"/>
        <w:gridCol w:w="717"/>
        <w:gridCol w:w="716"/>
      </w:tblGrid>
      <w:tr w:rsidR="004518A3" w:rsidRPr="0025572F" w:rsidTr="00C2394C">
        <w:trPr>
          <w:trHeight w:val="300"/>
          <w:jc w:val="center"/>
        </w:trPr>
        <w:tc>
          <w:tcPr>
            <w:tcW w:w="1851"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Región</w:t>
            </w:r>
          </w:p>
        </w:tc>
        <w:tc>
          <w:tcPr>
            <w:tcW w:w="7346" w:type="dxa"/>
            <w:gridSpan w:val="8"/>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F3505E">
              <w:rPr>
                <w:rFonts w:cs="Arial"/>
                <w:b/>
                <w:sz w:val="18"/>
                <w:szCs w:val="20"/>
                <w:lang w:eastAsia="es-CR"/>
              </w:rPr>
              <w:t>Estado carretera San José</w:t>
            </w:r>
            <w:r>
              <w:rPr>
                <w:rFonts w:cs="Arial"/>
                <w:b/>
                <w:sz w:val="18"/>
                <w:szCs w:val="20"/>
                <w:lang w:eastAsia="es-CR"/>
              </w:rPr>
              <w:t xml:space="preserve"> </w:t>
            </w:r>
            <w:r w:rsidRPr="00F3505E">
              <w:rPr>
                <w:rFonts w:cs="Arial"/>
                <w:b/>
                <w:sz w:val="18"/>
                <w:szCs w:val="20"/>
                <w:lang w:eastAsia="es-CR"/>
              </w:rPr>
              <w:t>- Frontera Norte</w:t>
            </w:r>
          </w:p>
        </w:tc>
      </w:tr>
      <w:tr w:rsidR="004518A3" w:rsidRPr="0025572F" w:rsidTr="00C2394C">
        <w:trPr>
          <w:trHeight w:val="300"/>
          <w:jc w:val="center"/>
        </w:trPr>
        <w:tc>
          <w:tcPr>
            <w:tcW w:w="1851"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p>
        </w:tc>
        <w:tc>
          <w:tcPr>
            <w:tcW w:w="93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mal</w:t>
            </w:r>
            <w:r>
              <w:rPr>
                <w:rFonts w:cs="Arial"/>
                <w:b/>
                <w:sz w:val="18"/>
                <w:szCs w:val="20"/>
                <w:lang w:eastAsia="es-CR"/>
              </w:rPr>
              <w:t>o</w:t>
            </w:r>
          </w:p>
        </w:tc>
        <w:tc>
          <w:tcPr>
            <w:tcW w:w="96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Mal</w:t>
            </w:r>
            <w:r>
              <w:rPr>
                <w:rFonts w:cs="Arial"/>
                <w:b/>
                <w:sz w:val="18"/>
                <w:szCs w:val="20"/>
                <w:lang w:eastAsia="es-CR"/>
              </w:rPr>
              <w:t>o</w:t>
            </w:r>
          </w:p>
        </w:tc>
        <w:tc>
          <w:tcPr>
            <w:tcW w:w="964"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Regular</w:t>
            </w:r>
          </w:p>
        </w:tc>
        <w:tc>
          <w:tcPr>
            <w:tcW w:w="85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Buen</w:t>
            </w:r>
            <w:r>
              <w:rPr>
                <w:rFonts w:cs="Arial"/>
                <w:b/>
                <w:sz w:val="18"/>
                <w:szCs w:val="20"/>
                <w:lang w:eastAsia="es-CR"/>
              </w:rPr>
              <w:t>o</w:t>
            </w:r>
          </w:p>
        </w:tc>
        <w:tc>
          <w:tcPr>
            <w:tcW w:w="99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buen</w:t>
            </w:r>
            <w:r>
              <w:rPr>
                <w:rFonts w:cs="Arial"/>
                <w:b/>
                <w:sz w:val="18"/>
                <w:szCs w:val="20"/>
                <w:lang w:eastAsia="es-CR"/>
              </w:rPr>
              <w:t>o</w:t>
            </w:r>
          </w:p>
        </w:tc>
        <w:tc>
          <w:tcPr>
            <w:tcW w:w="120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Pr>
                <w:rFonts w:cs="Arial"/>
                <w:b/>
                <w:sz w:val="18"/>
                <w:szCs w:val="20"/>
                <w:lang w:eastAsia="es-CR"/>
              </w:rPr>
              <w:t>No la utiliza</w:t>
            </w:r>
          </w:p>
        </w:tc>
        <w:tc>
          <w:tcPr>
            <w:tcW w:w="71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N</w:t>
            </w:r>
            <w:r>
              <w:rPr>
                <w:rFonts w:cs="Arial"/>
                <w:b/>
                <w:sz w:val="18"/>
                <w:szCs w:val="20"/>
                <w:lang w:eastAsia="es-CR"/>
              </w:rPr>
              <w:t>R</w:t>
            </w:r>
          </w:p>
        </w:tc>
        <w:tc>
          <w:tcPr>
            <w:tcW w:w="716" w:type="dxa"/>
            <w:shd w:val="clear" w:color="auto" w:fill="BFBFBF" w:themeFill="background1" w:themeFillShade="BF"/>
            <w:vAlign w:val="center"/>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Total</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Metropolitana</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3,5</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11,3</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19</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24,5</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0</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37</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0</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Valle Central</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3,3</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13,4</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15</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25,2</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0</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37,9</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0</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país</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4,8</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10,3</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17,5</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20,2</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0</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37,7</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0</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3B1CFC" w:rsidTr="00C2394C">
        <w:trPr>
          <w:trHeight w:val="300"/>
          <w:jc w:val="center"/>
        </w:trPr>
        <w:tc>
          <w:tcPr>
            <w:tcW w:w="185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Todas las regiones</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3,7</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11,6</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17,7</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23,8</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0</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37,4</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0</w:t>
            </w:r>
          </w:p>
        </w:tc>
        <w:tc>
          <w:tcPr>
            <w:tcW w:w="716" w:type="dxa"/>
            <w:vAlign w:val="center"/>
          </w:tcPr>
          <w:p w:rsidR="004518A3" w:rsidRDefault="004518A3" w:rsidP="00C2394C">
            <w:pPr>
              <w:spacing w:after="0" w:line="240" w:lineRule="auto"/>
              <w:jc w:val="center"/>
              <w:rPr>
                <w:rFonts w:cs="Arial"/>
                <w:b/>
                <w:bCs/>
                <w:color w:val="000000"/>
                <w:sz w:val="18"/>
                <w:szCs w:val="18"/>
              </w:rPr>
            </w:pPr>
            <w:r>
              <w:rPr>
                <w:rFonts w:cs="Arial"/>
                <w:b/>
                <w:bCs/>
                <w:color w:val="000000"/>
                <w:sz w:val="18"/>
                <w:szCs w:val="18"/>
              </w:rPr>
              <w:t>100</w:t>
            </w:r>
          </w:p>
        </w:tc>
      </w:tr>
      <w:tr w:rsidR="004518A3" w:rsidRPr="0025572F" w:rsidTr="00C2394C">
        <w:trPr>
          <w:trHeight w:val="300"/>
          <w:jc w:val="center"/>
        </w:trPr>
        <w:tc>
          <w:tcPr>
            <w:tcW w:w="1851"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Región</w:t>
            </w:r>
          </w:p>
        </w:tc>
        <w:tc>
          <w:tcPr>
            <w:tcW w:w="7346" w:type="dxa"/>
            <w:gridSpan w:val="8"/>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F3505E">
              <w:rPr>
                <w:rFonts w:cs="Arial"/>
                <w:b/>
                <w:sz w:val="18"/>
                <w:szCs w:val="18"/>
                <w:lang w:eastAsia="es-CR"/>
              </w:rPr>
              <w:t>Estado carretera San José</w:t>
            </w:r>
            <w:r>
              <w:rPr>
                <w:rFonts w:cs="Arial"/>
                <w:b/>
                <w:sz w:val="18"/>
                <w:szCs w:val="18"/>
                <w:lang w:eastAsia="es-CR"/>
              </w:rPr>
              <w:t xml:space="preserve"> </w:t>
            </w:r>
            <w:r w:rsidRPr="00F3505E">
              <w:rPr>
                <w:rFonts w:cs="Arial"/>
                <w:b/>
                <w:sz w:val="18"/>
                <w:szCs w:val="18"/>
                <w:lang w:eastAsia="es-CR"/>
              </w:rPr>
              <w:t>- Frontera Sur</w:t>
            </w:r>
          </w:p>
        </w:tc>
      </w:tr>
      <w:tr w:rsidR="004518A3" w:rsidRPr="0025572F" w:rsidTr="00C2394C">
        <w:trPr>
          <w:trHeight w:val="300"/>
          <w:jc w:val="center"/>
        </w:trPr>
        <w:tc>
          <w:tcPr>
            <w:tcW w:w="1851"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p>
        </w:tc>
        <w:tc>
          <w:tcPr>
            <w:tcW w:w="93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mal</w:t>
            </w:r>
            <w:r>
              <w:rPr>
                <w:rFonts w:cs="Arial"/>
                <w:b/>
                <w:sz w:val="18"/>
                <w:szCs w:val="20"/>
                <w:lang w:eastAsia="es-CR"/>
              </w:rPr>
              <w:t>o</w:t>
            </w:r>
          </w:p>
        </w:tc>
        <w:tc>
          <w:tcPr>
            <w:tcW w:w="96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Mal</w:t>
            </w:r>
            <w:r>
              <w:rPr>
                <w:rFonts w:cs="Arial"/>
                <w:b/>
                <w:sz w:val="18"/>
                <w:szCs w:val="20"/>
                <w:lang w:eastAsia="es-CR"/>
              </w:rPr>
              <w:t>o</w:t>
            </w:r>
          </w:p>
        </w:tc>
        <w:tc>
          <w:tcPr>
            <w:tcW w:w="964"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Regular</w:t>
            </w:r>
          </w:p>
        </w:tc>
        <w:tc>
          <w:tcPr>
            <w:tcW w:w="85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Buen</w:t>
            </w:r>
            <w:r>
              <w:rPr>
                <w:rFonts w:cs="Arial"/>
                <w:b/>
                <w:sz w:val="18"/>
                <w:szCs w:val="20"/>
                <w:lang w:eastAsia="es-CR"/>
              </w:rPr>
              <w:t>o</w:t>
            </w:r>
          </w:p>
        </w:tc>
        <w:tc>
          <w:tcPr>
            <w:tcW w:w="99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buen</w:t>
            </w:r>
            <w:r>
              <w:rPr>
                <w:rFonts w:cs="Arial"/>
                <w:b/>
                <w:sz w:val="18"/>
                <w:szCs w:val="20"/>
                <w:lang w:eastAsia="es-CR"/>
              </w:rPr>
              <w:t>o</w:t>
            </w:r>
          </w:p>
        </w:tc>
        <w:tc>
          <w:tcPr>
            <w:tcW w:w="120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No lo utiliza</w:t>
            </w:r>
          </w:p>
        </w:tc>
        <w:tc>
          <w:tcPr>
            <w:tcW w:w="71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NR</w:t>
            </w:r>
          </w:p>
        </w:tc>
        <w:tc>
          <w:tcPr>
            <w:tcW w:w="716" w:type="dxa"/>
            <w:shd w:val="clear" w:color="auto" w:fill="BFBFBF" w:themeFill="background1" w:themeFillShade="BF"/>
            <w:vAlign w:val="center"/>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20"/>
                <w:lang w:eastAsia="es-CR"/>
              </w:rPr>
              <w:t>Total</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Metropolitana</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3,8</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9,6</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19,3</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19</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2,4</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42,2</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3,7</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Valle Central</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5,6</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9,5</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15,7</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22,9</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2,9</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39,9</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3,6</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país</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4</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7,5</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20,6</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14,3</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1,6</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40,9</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11,1</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3B1CFC" w:rsidTr="00C2394C">
        <w:trPr>
          <w:trHeight w:val="300"/>
          <w:jc w:val="center"/>
        </w:trPr>
        <w:tc>
          <w:tcPr>
            <w:tcW w:w="185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20"/>
                <w:lang w:eastAsia="es-CR"/>
              </w:rPr>
              <w:t>Todas las regiones</w:t>
            </w:r>
          </w:p>
        </w:tc>
        <w:tc>
          <w:tcPr>
            <w:tcW w:w="93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4,3</w:t>
            </w:r>
          </w:p>
        </w:tc>
        <w:tc>
          <w:tcPr>
            <w:tcW w:w="96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9,1</w:t>
            </w:r>
          </w:p>
        </w:tc>
        <w:tc>
          <w:tcPr>
            <w:tcW w:w="964"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18,7</w:t>
            </w:r>
          </w:p>
        </w:tc>
        <w:tc>
          <w:tcPr>
            <w:tcW w:w="85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19</w:t>
            </w:r>
          </w:p>
        </w:tc>
        <w:tc>
          <w:tcPr>
            <w:tcW w:w="99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2,4</w:t>
            </w:r>
          </w:p>
        </w:tc>
        <w:tc>
          <w:tcPr>
            <w:tcW w:w="120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41,3</w:t>
            </w:r>
          </w:p>
        </w:tc>
        <w:tc>
          <w:tcPr>
            <w:tcW w:w="717"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5,2</w:t>
            </w:r>
          </w:p>
        </w:tc>
        <w:tc>
          <w:tcPr>
            <w:tcW w:w="716" w:type="dxa"/>
            <w:vAlign w:val="center"/>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100</w:t>
            </w:r>
          </w:p>
        </w:tc>
      </w:tr>
      <w:tr w:rsidR="004518A3" w:rsidRPr="0025572F" w:rsidTr="00C2394C">
        <w:trPr>
          <w:trHeight w:val="300"/>
          <w:jc w:val="center"/>
        </w:trPr>
        <w:tc>
          <w:tcPr>
            <w:tcW w:w="1851"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18"/>
                <w:lang w:eastAsia="es-CR"/>
              </w:rPr>
              <w:t>Región</w:t>
            </w:r>
          </w:p>
        </w:tc>
        <w:tc>
          <w:tcPr>
            <w:tcW w:w="7346" w:type="dxa"/>
            <w:gridSpan w:val="8"/>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sidRPr="00F3505E">
              <w:rPr>
                <w:rFonts w:cs="Arial"/>
                <w:b/>
                <w:sz w:val="18"/>
                <w:szCs w:val="18"/>
                <w:lang w:eastAsia="es-CR"/>
              </w:rPr>
              <w:t>Estado carretera San José</w:t>
            </w:r>
            <w:r>
              <w:rPr>
                <w:rFonts w:cs="Arial"/>
                <w:b/>
                <w:sz w:val="18"/>
                <w:szCs w:val="18"/>
                <w:lang w:eastAsia="es-CR"/>
              </w:rPr>
              <w:t xml:space="preserve"> </w:t>
            </w:r>
            <w:r w:rsidRPr="00F3505E">
              <w:rPr>
                <w:rFonts w:cs="Arial"/>
                <w:b/>
                <w:sz w:val="18"/>
                <w:szCs w:val="18"/>
                <w:lang w:eastAsia="es-CR"/>
              </w:rPr>
              <w:t>- Caldera</w:t>
            </w:r>
          </w:p>
        </w:tc>
      </w:tr>
      <w:tr w:rsidR="004518A3" w:rsidRPr="0025572F" w:rsidTr="00C2394C">
        <w:trPr>
          <w:trHeight w:val="300"/>
          <w:jc w:val="center"/>
        </w:trPr>
        <w:tc>
          <w:tcPr>
            <w:tcW w:w="1851"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p>
        </w:tc>
        <w:tc>
          <w:tcPr>
            <w:tcW w:w="93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mal</w:t>
            </w:r>
            <w:r>
              <w:rPr>
                <w:rFonts w:cs="Arial"/>
                <w:b/>
                <w:sz w:val="18"/>
                <w:szCs w:val="20"/>
                <w:lang w:eastAsia="es-CR"/>
              </w:rPr>
              <w:t>o</w:t>
            </w:r>
          </w:p>
        </w:tc>
        <w:tc>
          <w:tcPr>
            <w:tcW w:w="96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Mal</w:t>
            </w:r>
            <w:r>
              <w:rPr>
                <w:rFonts w:cs="Arial"/>
                <w:b/>
                <w:sz w:val="18"/>
                <w:szCs w:val="20"/>
                <w:lang w:eastAsia="es-CR"/>
              </w:rPr>
              <w:t>o</w:t>
            </w:r>
          </w:p>
        </w:tc>
        <w:tc>
          <w:tcPr>
            <w:tcW w:w="964"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Regular</w:t>
            </w:r>
          </w:p>
        </w:tc>
        <w:tc>
          <w:tcPr>
            <w:tcW w:w="85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Buen</w:t>
            </w:r>
            <w:r>
              <w:rPr>
                <w:rFonts w:cs="Arial"/>
                <w:b/>
                <w:sz w:val="18"/>
                <w:szCs w:val="20"/>
                <w:lang w:eastAsia="es-CR"/>
              </w:rPr>
              <w:t>o</w:t>
            </w:r>
          </w:p>
        </w:tc>
        <w:tc>
          <w:tcPr>
            <w:tcW w:w="99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buen</w:t>
            </w:r>
            <w:r>
              <w:rPr>
                <w:rFonts w:cs="Arial"/>
                <w:b/>
                <w:sz w:val="18"/>
                <w:szCs w:val="20"/>
                <w:lang w:eastAsia="es-CR"/>
              </w:rPr>
              <w:t>o</w:t>
            </w:r>
          </w:p>
        </w:tc>
        <w:tc>
          <w:tcPr>
            <w:tcW w:w="120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No lo utiliza</w:t>
            </w:r>
          </w:p>
        </w:tc>
        <w:tc>
          <w:tcPr>
            <w:tcW w:w="71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18"/>
                <w:lang w:eastAsia="es-CR"/>
              </w:rPr>
            </w:pPr>
            <w:r>
              <w:rPr>
                <w:rFonts w:cs="Arial"/>
                <w:b/>
                <w:sz w:val="18"/>
                <w:szCs w:val="18"/>
                <w:lang w:eastAsia="es-CR"/>
              </w:rPr>
              <w:t>NR</w:t>
            </w:r>
          </w:p>
        </w:tc>
        <w:tc>
          <w:tcPr>
            <w:tcW w:w="716" w:type="dxa"/>
            <w:shd w:val="clear" w:color="auto" w:fill="BFBFBF" w:themeFill="background1" w:themeFillShade="BF"/>
            <w:vAlign w:val="center"/>
          </w:tcPr>
          <w:p w:rsidR="004518A3" w:rsidRPr="0025572F" w:rsidRDefault="004518A3" w:rsidP="00C2394C">
            <w:pPr>
              <w:spacing w:after="0" w:line="240" w:lineRule="auto"/>
              <w:jc w:val="center"/>
              <w:rPr>
                <w:rFonts w:cs="Arial"/>
                <w:b/>
                <w:sz w:val="18"/>
                <w:szCs w:val="18"/>
                <w:lang w:eastAsia="es-CR"/>
              </w:rPr>
            </w:pPr>
            <w:r w:rsidRPr="0025572F">
              <w:rPr>
                <w:rFonts w:cs="Arial"/>
                <w:b/>
                <w:sz w:val="18"/>
                <w:szCs w:val="20"/>
                <w:lang w:eastAsia="es-CR"/>
              </w:rPr>
              <w:t>Total</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Metropolitana</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3,3</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5,9</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16,3</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52,2</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8,2</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12,9</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1,1</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t>Resto del Valle Central</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3,3</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10,8</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12,4</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45,4</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9,5</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17,6</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18"/>
                <w:lang w:eastAsia="es-CR"/>
              </w:rPr>
            </w:pPr>
            <w:r w:rsidRPr="0025572F">
              <w:rPr>
                <w:rFonts w:cs="Arial"/>
                <w:sz w:val="18"/>
                <w:szCs w:val="18"/>
                <w:lang w:eastAsia="es-CR"/>
              </w:rPr>
              <w:lastRenderedPageBreak/>
              <w:t>Resto del país</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3,2</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7,1</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16,3</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36,9</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5,6</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25,8</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5,2</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3B1CFC" w:rsidTr="00C2394C">
        <w:trPr>
          <w:trHeight w:val="300"/>
          <w:jc w:val="center"/>
        </w:trPr>
        <w:tc>
          <w:tcPr>
            <w:tcW w:w="185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18"/>
                <w:lang w:eastAsia="es-CR"/>
              </w:rPr>
            </w:pPr>
            <w:r w:rsidRPr="003B1CFC">
              <w:rPr>
                <w:rFonts w:cs="Arial"/>
                <w:b/>
                <w:sz w:val="18"/>
                <w:szCs w:val="20"/>
                <w:lang w:eastAsia="es-CR"/>
              </w:rPr>
              <w:t>Todas las regiones</w:t>
            </w:r>
          </w:p>
        </w:tc>
        <w:tc>
          <w:tcPr>
            <w:tcW w:w="93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3,3</w:t>
            </w:r>
          </w:p>
        </w:tc>
        <w:tc>
          <w:tcPr>
            <w:tcW w:w="96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7,4</w:t>
            </w:r>
          </w:p>
        </w:tc>
        <w:tc>
          <w:tcPr>
            <w:tcW w:w="964"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15,3</w:t>
            </w:r>
          </w:p>
        </w:tc>
        <w:tc>
          <w:tcPr>
            <w:tcW w:w="85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47,3</w:t>
            </w:r>
          </w:p>
        </w:tc>
        <w:tc>
          <w:tcPr>
            <w:tcW w:w="99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8</w:t>
            </w:r>
          </w:p>
        </w:tc>
        <w:tc>
          <w:tcPr>
            <w:tcW w:w="120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16,8</w:t>
            </w:r>
          </w:p>
        </w:tc>
        <w:tc>
          <w:tcPr>
            <w:tcW w:w="717"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1,9</w:t>
            </w:r>
          </w:p>
        </w:tc>
        <w:tc>
          <w:tcPr>
            <w:tcW w:w="716" w:type="dxa"/>
            <w:vAlign w:val="center"/>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100</w:t>
            </w:r>
          </w:p>
        </w:tc>
      </w:tr>
      <w:tr w:rsidR="004518A3" w:rsidRPr="0025572F" w:rsidTr="00C2394C">
        <w:trPr>
          <w:trHeight w:val="300"/>
          <w:jc w:val="center"/>
        </w:trPr>
        <w:tc>
          <w:tcPr>
            <w:tcW w:w="1851"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Región</w:t>
            </w:r>
          </w:p>
        </w:tc>
        <w:tc>
          <w:tcPr>
            <w:tcW w:w="7346" w:type="dxa"/>
            <w:gridSpan w:val="8"/>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F3505E">
              <w:rPr>
                <w:rFonts w:cs="Arial"/>
                <w:b/>
                <w:sz w:val="18"/>
                <w:szCs w:val="20"/>
                <w:lang w:eastAsia="es-CR"/>
              </w:rPr>
              <w:t>Estado carretera San José</w:t>
            </w:r>
            <w:r>
              <w:rPr>
                <w:rFonts w:cs="Arial"/>
                <w:b/>
                <w:sz w:val="18"/>
                <w:szCs w:val="20"/>
                <w:lang w:eastAsia="es-CR"/>
              </w:rPr>
              <w:t xml:space="preserve"> </w:t>
            </w:r>
            <w:r w:rsidRPr="00F3505E">
              <w:rPr>
                <w:rFonts w:cs="Arial"/>
                <w:b/>
                <w:sz w:val="18"/>
                <w:szCs w:val="20"/>
                <w:lang w:eastAsia="es-CR"/>
              </w:rPr>
              <w:t>- Limón</w:t>
            </w:r>
          </w:p>
        </w:tc>
      </w:tr>
      <w:tr w:rsidR="004518A3" w:rsidRPr="0025572F" w:rsidTr="00C2394C">
        <w:trPr>
          <w:trHeight w:val="300"/>
          <w:jc w:val="center"/>
        </w:trPr>
        <w:tc>
          <w:tcPr>
            <w:tcW w:w="1851"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p>
        </w:tc>
        <w:tc>
          <w:tcPr>
            <w:tcW w:w="93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mal</w:t>
            </w:r>
            <w:r>
              <w:rPr>
                <w:rFonts w:cs="Arial"/>
                <w:b/>
                <w:sz w:val="18"/>
                <w:szCs w:val="20"/>
                <w:lang w:eastAsia="es-CR"/>
              </w:rPr>
              <w:t>o</w:t>
            </w:r>
          </w:p>
        </w:tc>
        <w:tc>
          <w:tcPr>
            <w:tcW w:w="96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Mal</w:t>
            </w:r>
            <w:r>
              <w:rPr>
                <w:rFonts w:cs="Arial"/>
                <w:b/>
                <w:sz w:val="18"/>
                <w:szCs w:val="20"/>
                <w:lang w:eastAsia="es-CR"/>
              </w:rPr>
              <w:t>o</w:t>
            </w:r>
          </w:p>
        </w:tc>
        <w:tc>
          <w:tcPr>
            <w:tcW w:w="964"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Regular</w:t>
            </w:r>
          </w:p>
        </w:tc>
        <w:tc>
          <w:tcPr>
            <w:tcW w:w="85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Buen</w:t>
            </w:r>
            <w:r>
              <w:rPr>
                <w:rFonts w:cs="Arial"/>
                <w:b/>
                <w:sz w:val="18"/>
                <w:szCs w:val="20"/>
                <w:lang w:eastAsia="es-CR"/>
              </w:rPr>
              <w:t>o</w:t>
            </w:r>
          </w:p>
        </w:tc>
        <w:tc>
          <w:tcPr>
            <w:tcW w:w="99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buen</w:t>
            </w:r>
            <w:r>
              <w:rPr>
                <w:rFonts w:cs="Arial"/>
                <w:b/>
                <w:sz w:val="18"/>
                <w:szCs w:val="20"/>
                <w:lang w:eastAsia="es-CR"/>
              </w:rPr>
              <w:t>o</w:t>
            </w:r>
          </w:p>
        </w:tc>
        <w:tc>
          <w:tcPr>
            <w:tcW w:w="120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Pr>
                <w:rFonts w:cs="Arial"/>
                <w:b/>
                <w:sz w:val="18"/>
                <w:szCs w:val="20"/>
                <w:lang w:eastAsia="es-CR"/>
              </w:rPr>
              <w:t>No la utiliza</w:t>
            </w:r>
          </w:p>
        </w:tc>
        <w:tc>
          <w:tcPr>
            <w:tcW w:w="71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N</w:t>
            </w:r>
            <w:r>
              <w:rPr>
                <w:rFonts w:cs="Arial"/>
                <w:b/>
                <w:sz w:val="18"/>
                <w:szCs w:val="20"/>
                <w:lang w:eastAsia="es-CR"/>
              </w:rPr>
              <w:t>R</w:t>
            </w:r>
          </w:p>
        </w:tc>
        <w:tc>
          <w:tcPr>
            <w:tcW w:w="716" w:type="dxa"/>
            <w:shd w:val="clear" w:color="auto" w:fill="BFBFBF" w:themeFill="background1" w:themeFillShade="BF"/>
            <w:vAlign w:val="center"/>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Total</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Metropolitana</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8,1</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20,4</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18,1</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21,2</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1,2</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29,5</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1,5</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Valle Central</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5,9</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12,4</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23,2</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19,0</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1,6</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34,0</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3,9</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país</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7,1</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14,3</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19,8</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13,1</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2,0</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35,3</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8,3</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3B1CFC" w:rsidTr="00C2394C">
        <w:trPr>
          <w:trHeight w:val="300"/>
          <w:jc w:val="center"/>
        </w:trPr>
        <w:tc>
          <w:tcPr>
            <w:tcW w:w="185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Todas las regiones</w:t>
            </w:r>
          </w:p>
        </w:tc>
        <w:tc>
          <w:tcPr>
            <w:tcW w:w="93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7,3</w:t>
            </w:r>
          </w:p>
        </w:tc>
        <w:tc>
          <w:tcPr>
            <w:tcW w:w="96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17,1</w:t>
            </w:r>
          </w:p>
        </w:tc>
        <w:tc>
          <w:tcPr>
            <w:tcW w:w="964"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19,8</w:t>
            </w:r>
          </w:p>
        </w:tc>
        <w:tc>
          <w:tcPr>
            <w:tcW w:w="85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18,9</w:t>
            </w:r>
          </w:p>
        </w:tc>
        <w:tc>
          <w:tcPr>
            <w:tcW w:w="99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1,5</w:t>
            </w:r>
          </w:p>
        </w:tc>
        <w:tc>
          <w:tcPr>
            <w:tcW w:w="120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31,9</w:t>
            </w:r>
          </w:p>
        </w:tc>
        <w:tc>
          <w:tcPr>
            <w:tcW w:w="717"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3,5</w:t>
            </w:r>
          </w:p>
        </w:tc>
        <w:tc>
          <w:tcPr>
            <w:tcW w:w="716" w:type="dxa"/>
            <w:vAlign w:val="center"/>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100</w:t>
            </w:r>
          </w:p>
        </w:tc>
      </w:tr>
      <w:tr w:rsidR="004518A3" w:rsidRPr="0025572F" w:rsidTr="00C2394C">
        <w:trPr>
          <w:trHeight w:val="300"/>
          <w:jc w:val="center"/>
        </w:trPr>
        <w:tc>
          <w:tcPr>
            <w:tcW w:w="1851" w:type="dxa"/>
            <w:vMerge w:val="restart"/>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Región</w:t>
            </w:r>
          </w:p>
        </w:tc>
        <w:tc>
          <w:tcPr>
            <w:tcW w:w="7346" w:type="dxa"/>
            <w:gridSpan w:val="8"/>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F3505E">
              <w:rPr>
                <w:rFonts w:cs="Arial"/>
                <w:b/>
                <w:sz w:val="18"/>
                <w:szCs w:val="20"/>
                <w:lang w:eastAsia="es-CR"/>
              </w:rPr>
              <w:t>Estado carretera Costanera</w:t>
            </w:r>
          </w:p>
        </w:tc>
      </w:tr>
      <w:tr w:rsidR="004518A3" w:rsidRPr="0025572F" w:rsidTr="00C2394C">
        <w:trPr>
          <w:trHeight w:val="300"/>
          <w:jc w:val="center"/>
        </w:trPr>
        <w:tc>
          <w:tcPr>
            <w:tcW w:w="1851" w:type="dxa"/>
            <w:vMerge/>
            <w:shd w:val="clear" w:color="auto" w:fill="BFBFBF" w:themeFill="background1" w:themeFillShade="BF"/>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p>
        </w:tc>
        <w:tc>
          <w:tcPr>
            <w:tcW w:w="93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mal</w:t>
            </w:r>
            <w:r>
              <w:rPr>
                <w:rFonts w:cs="Arial"/>
                <w:b/>
                <w:sz w:val="18"/>
                <w:szCs w:val="20"/>
                <w:lang w:eastAsia="es-CR"/>
              </w:rPr>
              <w:t>o</w:t>
            </w:r>
          </w:p>
        </w:tc>
        <w:tc>
          <w:tcPr>
            <w:tcW w:w="96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Mal</w:t>
            </w:r>
            <w:r>
              <w:rPr>
                <w:rFonts w:cs="Arial"/>
                <w:b/>
                <w:sz w:val="18"/>
                <w:szCs w:val="20"/>
                <w:lang w:eastAsia="es-CR"/>
              </w:rPr>
              <w:t>o</w:t>
            </w:r>
          </w:p>
        </w:tc>
        <w:tc>
          <w:tcPr>
            <w:tcW w:w="964"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Regular</w:t>
            </w:r>
          </w:p>
        </w:tc>
        <w:tc>
          <w:tcPr>
            <w:tcW w:w="85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Buen</w:t>
            </w:r>
            <w:r>
              <w:rPr>
                <w:rFonts w:cs="Arial"/>
                <w:b/>
                <w:sz w:val="18"/>
                <w:szCs w:val="20"/>
                <w:lang w:eastAsia="es-CR"/>
              </w:rPr>
              <w:t>o</w:t>
            </w:r>
          </w:p>
        </w:tc>
        <w:tc>
          <w:tcPr>
            <w:tcW w:w="992"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Muy buen</w:t>
            </w:r>
            <w:r>
              <w:rPr>
                <w:rFonts w:cs="Arial"/>
                <w:b/>
                <w:sz w:val="18"/>
                <w:szCs w:val="20"/>
                <w:lang w:eastAsia="es-CR"/>
              </w:rPr>
              <w:t>o</w:t>
            </w:r>
          </w:p>
        </w:tc>
        <w:tc>
          <w:tcPr>
            <w:tcW w:w="1205"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Pr>
                <w:rFonts w:cs="Arial"/>
                <w:b/>
                <w:sz w:val="18"/>
                <w:szCs w:val="20"/>
                <w:lang w:eastAsia="es-CR"/>
              </w:rPr>
              <w:t>No la utiliza</w:t>
            </w:r>
          </w:p>
        </w:tc>
        <w:tc>
          <w:tcPr>
            <w:tcW w:w="717" w:type="dxa"/>
            <w:shd w:val="clear" w:color="auto" w:fill="BFBFBF" w:themeFill="background1" w:themeFillShade="BF"/>
            <w:noWrap/>
            <w:tcMar>
              <w:left w:w="0" w:type="dxa"/>
              <w:right w:w="0" w:type="dxa"/>
            </w:tcMar>
            <w:vAlign w:val="center"/>
            <w:hideMark/>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N</w:t>
            </w:r>
            <w:r>
              <w:rPr>
                <w:rFonts w:cs="Arial"/>
                <w:b/>
                <w:sz w:val="18"/>
                <w:szCs w:val="20"/>
                <w:lang w:eastAsia="es-CR"/>
              </w:rPr>
              <w:t>R</w:t>
            </w:r>
          </w:p>
        </w:tc>
        <w:tc>
          <w:tcPr>
            <w:tcW w:w="716" w:type="dxa"/>
            <w:shd w:val="clear" w:color="auto" w:fill="BFBFBF" w:themeFill="background1" w:themeFillShade="BF"/>
            <w:vAlign w:val="center"/>
          </w:tcPr>
          <w:p w:rsidR="004518A3" w:rsidRPr="0025572F" w:rsidRDefault="004518A3" w:rsidP="00C2394C">
            <w:pPr>
              <w:spacing w:after="0" w:line="240" w:lineRule="auto"/>
              <w:jc w:val="center"/>
              <w:rPr>
                <w:rFonts w:cs="Arial"/>
                <w:b/>
                <w:sz w:val="18"/>
                <w:szCs w:val="20"/>
                <w:lang w:eastAsia="es-CR"/>
              </w:rPr>
            </w:pPr>
            <w:r w:rsidRPr="0025572F">
              <w:rPr>
                <w:rFonts w:cs="Arial"/>
                <w:b/>
                <w:sz w:val="18"/>
                <w:szCs w:val="20"/>
                <w:lang w:eastAsia="es-CR"/>
              </w:rPr>
              <w:t>Total</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Metropolitana</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2,7</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6,8</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15,5</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31,5</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5,9</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34,7</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2,7</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Valle Central</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1,6</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7,5</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15</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25,2</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9,2</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37,9</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3,6</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25572F" w:rsidTr="00C2394C">
        <w:trPr>
          <w:trHeight w:val="300"/>
          <w:jc w:val="center"/>
        </w:trPr>
        <w:tc>
          <w:tcPr>
            <w:tcW w:w="1851" w:type="dxa"/>
            <w:shd w:val="clear" w:color="auto" w:fill="auto"/>
            <w:noWrap/>
            <w:tcMar>
              <w:left w:w="0" w:type="dxa"/>
              <w:right w:w="0" w:type="dxa"/>
            </w:tcMar>
            <w:vAlign w:val="center"/>
            <w:hideMark/>
          </w:tcPr>
          <w:p w:rsidR="004518A3" w:rsidRPr="0025572F" w:rsidRDefault="004518A3" w:rsidP="00C2394C">
            <w:pPr>
              <w:spacing w:after="0" w:line="240" w:lineRule="auto"/>
              <w:jc w:val="center"/>
              <w:rPr>
                <w:rFonts w:cs="Arial"/>
                <w:sz w:val="18"/>
                <w:szCs w:val="20"/>
                <w:lang w:eastAsia="es-CR"/>
              </w:rPr>
            </w:pPr>
            <w:r w:rsidRPr="0025572F">
              <w:rPr>
                <w:rFonts w:cs="Arial"/>
                <w:sz w:val="18"/>
                <w:szCs w:val="20"/>
                <w:lang w:eastAsia="es-CR"/>
              </w:rPr>
              <w:t>Resto del país</w:t>
            </w:r>
          </w:p>
        </w:tc>
        <w:tc>
          <w:tcPr>
            <w:tcW w:w="93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4,8</w:t>
            </w:r>
          </w:p>
        </w:tc>
        <w:tc>
          <w:tcPr>
            <w:tcW w:w="96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3,6</w:t>
            </w:r>
          </w:p>
        </w:tc>
        <w:tc>
          <w:tcPr>
            <w:tcW w:w="964"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18,3</w:t>
            </w:r>
          </w:p>
        </w:tc>
        <w:tc>
          <w:tcPr>
            <w:tcW w:w="85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27,4</w:t>
            </w:r>
          </w:p>
        </w:tc>
        <w:tc>
          <w:tcPr>
            <w:tcW w:w="992"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7,1</w:t>
            </w:r>
          </w:p>
        </w:tc>
        <w:tc>
          <w:tcPr>
            <w:tcW w:w="1205"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30,2</w:t>
            </w:r>
          </w:p>
        </w:tc>
        <w:tc>
          <w:tcPr>
            <w:tcW w:w="717" w:type="dxa"/>
            <w:shd w:val="clear" w:color="auto" w:fill="auto"/>
            <w:noWrap/>
            <w:tcMar>
              <w:left w:w="0" w:type="dxa"/>
              <w:right w:w="0" w:type="dxa"/>
            </w:tcMar>
            <w:vAlign w:val="center"/>
            <w:hideMark/>
          </w:tcPr>
          <w:p w:rsidR="004518A3" w:rsidRDefault="004518A3" w:rsidP="00C2394C">
            <w:pPr>
              <w:spacing w:after="0" w:line="240" w:lineRule="auto"/>
              <w:jc w:val="center"/>
              <w:rPr>
                <w:rFonts w:cs="Arial"/>
                <w:color w:val="000000"/>
                <w:sz w:val="18"/>
                <w:szCs w:val="18"/>
              </w:rPr>
            </w:pPr>
            <w:r>
              <w:rPr>
                <w:rFonts w:cs="Arial"/>
                <w:color w:val="000000"/>
                <w:sz w:val="18"/>
                <w:szCs w:val="18"/>
              </w:rPr>
              <w:t>8,7</w:t>
            </w:r>
          </w:p>
        </w:tc>
        <w:tc>
          <w:tcPr>
            <w:tcW w:w="716" w:type="dxa"/>
            <w:vAlign w:val="center"/>
          </w:tcPr>
          <w:p w:rsidR="004518A3" w:rsidRDefault="004518A3" w:rsidP="00C2394C">
            <w:pPr>
              <w:spacing w:after="0" w:line="240" w:lineRule="auto"/>
              <w:jc w:val="center"/>
              <w:rPr>
                <w:rFonts w:cs="Arial"/>
                <w:color w:val="000000"/>
                <w:sz w:val="18"/>
                <w:szCs w:val="18"/>
              </w:rPr>
            </w:pPr>
            <w:r>
              <w:rPr>
                <w:rFonts w:cs="Arial"/>
                <w:color w:val="000000"/>
                <w:sz w:val="18"/>
                <w:szCs w:val="18"/>
              </w:rPr>
              <w:t>100</w:t>
            </w:r>
          </w:p>
        </w:tc>
      </w:tr>
      <w:tr w:rsidR="004518A3" w:rsidRPr="003B1CFC" w:rsidTr="00C2394C">
        <w:trPr>
          <w:trHeight w:val="300"/>
          <w:jc w:val="center"/>
        </w:trPr>
        <w:tc>
          <w:tcPr>
            <w:tcW w:w="1851" w:type="dxa"/>
            <w:shd w:val="clear" w:color="auto" w:fill="auto"/>
            <w:noWrap/>
            <w:tcMar>
              <w:left w:w="0" w:type="dxa"/>
              <w:right w:w="0" w:type="dxa"/>
            </w:tcMar>
            <w:vAlign w:val="center"/>
            <w:hideMark/>
          </w:tcPr>
          <w:p w:rsidR="004518A3" w:rsidRPr="003B1CFC" w:rsidRDefault="004518A3" w:rsidP="00C2394C">
            <w:pPr>
              <w:spacing w:after="0" w:line="240" w:lineRule="auto"/>
              <w:jc w:val="center"/>
              <w:rPr>
                <w:rFonts w:cs="Arial"/>
                <w:b/>
                <w:sz w:val="18"/>
                <w:szCs w:val="20"/>
                <w:lang w:eastAsia="es-CR"/>
              </w:rPr>
            </w:pPr>
            <w:r w:rsidRPr="003B1CFC">
              <w:rPr>
                <w:rFonts w:cs="Arial"/>
                <w:b/>
                <w:sz w:val="18"/>
                <w:szCs w:val="20"/>
                <w:lang w:eastAsia="es-CR"/>
              </w:rPr>
              <w:t>Todas las regiones</w:t>
            </w:r>
          </w:p>
        </w:tc>
        <w:tc>
          <w:tcPr>
            <w:tcW w:w="93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2,9</w:t>
            </w:r>
          </w:p>
        </w:tc>
        <w:tc>
          <w:tcPr>
            <w:tcW w:w="96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6,3</w:t>
            </w:r>
          </w:p>
        </w:tc>
        <w:tc>
          <w:tcPr>
            <w:tcW w:w="964"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16</w:t>
            </w:r>
            <w:r>
              <w:rPr>
                <w:rFonts w:cs="Arial"/>
                <w:b/>
                <w:color w:val="000000"/>
                <w:sz w:val="18"/>
                <w:szCs w:val="18"/>
              </w:rPr>
              <w:t>,0</w:t>
            </w:r>
          </w:p>
        </w:tc>
        <w:tc>
          <w:tcPr>
            <w:tcW w:w="85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29,1</w:t>
            </w:r>
          </w:p>
        </w:tc>
        <w:tc>
          <w:tcPr>
            <w:tcW w:w="992"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7</w:t>
            </w:r>
            <w:r>
              <w:rPr>
                <w:rFonts w:cs="Arial"/>
                <w:b/>
                <w:color w:val="000000"/>
                <w:sz w:val="18"/>
                <w:szCs w:val="18"/>
              </w:rPr>
              <w:t>,0</w:t>
            </w:r>
          </w:p>
        </w:tc>
        <w:tc>
          <w:tcPr>
            <w:tcW w:w="1205"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34,6</w:t>
            </w:r>
          </w:p>
        </w:tc>
        <w:tc>
          <w:tcPr>
            <w:tcW w:w="717" w:type="dxa"/>
            <w:shd w:val="clear" w:color="auto" w:fill="auto"/>
            <w:noWrap/>
            <w:tcMar>
              <w:left w:w="0" w:type="dxa"/>
              <w:right w:w="0" w:type="dxa"/>
            </w:tcMar>
            <w:vAlign w:val="center"/>
            <w:hideMark/>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4,2</w:t>
            </w:r>
          </w:p>
        </w:tc>
        <w:tc>
          <w:tcPr>
            <w:tcW w:w="716" w:type="dxa"/>
            <w:vAlign w:val="center"/>
          </w:tcPr>
          <w:p w:rsidR="004518A3" w:rsidRPr="00F3505E" w:rsidRDefault="004518A3" w:rsidP="00C2394C">
            <w:pPr>
              <w:spacing w:after="0" w:line="240" w:lineRule="auto"/>
              <w:jc w:val="center"/>
              <w:rPr>
                <w:rFonts w:cs="Arial"/>
                <w:b/>
                <w:color w:val="000000"/>
                <w:sz w:val="18"/>
                <w:szCs w:val="18"/>
              </w:rPr>
            </w:pPr>
            <w:r w:rsidRPr="00F3505E">
              <w:rPr>
                <w:rFonts w:cs="Arial"/>
                <w:b/>
                <w:color w:val="000000"/>
                <w:sz w:val="18"/>
                <w:szCs w:val="18"/>
              </w:rPr>
              <w:t>100</w:t>
            </w:r>
          </w:p>
        </w:tc>
      </w:tr>
    </w:tbl>
    <w:p w:rsidR="004518A3" w:rsidRDefault="004518A3" w:rsidP="00D1095F">
      <w:pPr>
        <w:spacing w:after="0"/>
        <w:jc w:val="center"/>
        <w:rPr>
          <w:sz w:val="16"/>
          <w:szCs w:val="16"/>
        </w:rPr>
      </w:pPr>
      <w:r w:rsidRPr="007923A1">
        <w:rPr>
          <w:sz w:val="16"/>
          <w:szCs w:val="16"/>
        </w:rPr>
        <w:t>Fuente: Encuesta Percepción de la Red Vial del país LanammeUCR - CIEP. 2014</w:t>
      </w:r>
    </w:p>
    <w:p w:rsidR="00D1095F" w:rsidRPr="00D1095F" w:rsidRDefault="00D1095F" w:rsidP="00D1095F">
      <w:pPr>
        <w:spacing w:after="0"/>
        <w:jc w:val="center"/>
        <w:rPr>
          <w:sz w:val="16"/>
          <w:szCs w:val="16"/>
        </w:rPr>
      </w:pPr>
    </w:p>
    <w:p w:rsidR="004518A3" w:rsidRDefault="004518A3" w:rsidP="00C2394C">
      <w:pPr>
        <w:pStyle w:val="Sinespaciado"/>
      </w:pPr>
      <w:r w:rsidRPr="0075468B">
        <w:t>En primer lugar,  para la carretera San José- Frontera Norte se encuentra que alrededor del 37% de las personas no utiliza la ruta y en promedio 26,3% de los usuarios califican</w:t>
      </w:r>
      <w:r>
        <w:t xml:space="preserve"> de buena o muy buena el</w:t>
      </w:r>
      <w:r w:rsidRPr="0075468B">
        <w:t xml:space="preserve"> estado de la carretera. La carretera San José- Frontera Sur, en general 21,4% de los entrevistados la califican el estado de la carretera de bueno o muy bueno pero cerca del 41% no utilizan esta vía. La carretera San José-Caldera obtiene mayor porcentaje de uso, en promedio 55,3% de los entrevistados la califican el estado de la misma como bueno o muy bueno.  Porcentajes similares se obtiene por cada una de las regiones. En general, 20,4% de los entrevistados califica de bueno o muy bueno el estado de la carretera San José- Limón. Cerca del 36% califica de bueno o muy bueno el estado de la carretera Costanera. Comportamiento similar se presenta por cada una de las regiones. </w:t>
      </w:r>
    </w:p>
    <w:p w:rsidR="00D1095F" w:rsidRDefault="00D1095F" w:rsidP="00C2394C">
      <w:pPr>
        <w:pStyle w:val="Sinespaciado"/>
      </w:pPr>
    </w:p>
    <w:tbl>
      <w:tblPr>
        <w:tblStyle w:val="Tablaconcuadrcula"/>
        <w:tblpPr w:leftFromText="141" w:rightFromText="141" w:vertAnchor="text" w:horzAnchor="margin" w:tblpY="21"/>
        <w:tblW w:w="0" w:type="auto"/>
        <w:tblLook w:val="04A0"/>
      </w:tblPr>
      <w:tblGrid>
        <w:gridCol w:w="8631"/>
      </w:tblGrid>
      <w:tr w:rsidR="004518A3" w:rsidRPr="005C7A65" w:rsidTr="007923A1">
        <w:trPr>
          <w:trHeight w:val="2713"/>
        </w:trPr>
        <w:tc>
          <w:tcPr>
            <w:tcW w:w="8105" w:type="dxa"/>
            <w:vAlign w:val="center"/>
          </w:tcPr>
          <w:p w:rsidR="004518A3" w:rsidRPr="005C7A65" w:rsidRDefault="004518A3" w:rsidP="00C2394C">
            <w:pPr>
              <w:jc w:val="center"/>
              <w:rPr>
                <w:rFonts w:cs="Arial"/>
                <w:lang w:val="es-CR"/>
              </w:rPr>
            </w:pPr>
            <w:r w:rsidRPr="005C7A65">
              <w:rPr>
                <w:rFonts w:cs="Arial"/>
                <w:noProof/>
              </w:rPr>
              <w:drawing>
                <wp:inline distT="0" distB="0" distL="0" distR="0">
                  <wp:extent cx="5343277" cy="2377440"/>
                  <wp:effectExtent l="0" t="0" r="0" b="0"/>
                  <wp:docPr id="4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18A3" w:rsidRPr="007923A1" w:rsidRDefault="004518A3" w:rsidP="007923A1">
            <w:pPr>
              <w:pStyle w:val="Prrafodelista"/>
              <w:ind w:hanging="720"/>
              <w:jc w:val="center"/>
              <w:rPr>
                <w:rFonts w:cs="Arial"/>
                <w:sz w:val="16"/>
                <w:szCs w:val="16"/>
                <w:lang w:val="es-CR"/>
              </w:rPr>
            </w:pPr>
            <w:r w:rsidRPr="007923A1">
              <w:rPr>
                <w:rFonts w:cs="Arial"/>
                <w:sz w:val="16"/>
                <w:szCs w:val="16"/>
                <w:lang w:val="es-CR"/>
              </w:rPr>
              <w:t>Fuente: Encuesta Percepción de la Red Vial del país LanammeUCR - CIEP. 2014</w:t>
            </w:r>
          </w:p>
        </w:tc>
      </w:tr>
    </w:tbl>
    <w:p w:rsidR="004518A3" w:rsidRDefault="004518A3" w:rsidP="004518A3">
      <w:pPr>
        <w:jc w:val="center"/>
      </w:pPr>
      <w:bookmarkStart w:id="4" w:name="_Toc419189947"/>
      <w:r w:rsidRPr="00FB530A">
        <w:t xml:space="preserve"> </w:t>
      </w:r>
      <w:r w:rsidRPr="0075468B">
        <w:t xml:space="preserve">Notas de 0 a 100 </w:t>
      </w:r>
      <w:r>
        <w:t>para</w:t>
      </w:r>
      <w:r w:rsidRPr="0075468B">
        <w:t xml:space="preserve"> las carreteras principales</w:t>
      </w:r>
      <w:bookmarkEnd w:id="4"/>
    </w:p>
    <w:p w:rsidR="004518A3" w:rsidRDefault="004518A3" w:rsidP="00C2394C">
      <w:pPr>
        <w:pStyle w:val="Sinespaciado"/>
      </w:pPr>
      <w:r>
        <w:t>En la</w:t>
      </w:r>
      <w:r w:rsidR="00BF0536">
        <w:t xml:space="preserve"> figura anterior </w:t>
      </w:r>
      <w:r>
        <w:t>se muestra la interpretación de los resultados</w:t>
      </w:r>
      <w:r w:rsidRPr="0075468B">
        <w:t xml:space="preserve"> en términos de puntuaciones (de 0 a 100), las cinco carreteras</w:t>
      </w:r>
      <w:r>
        <w:t xml:space="preserve"> evaluadas por los costarricenses</w:t>
      </w:r>
      <w:r w:rsidRPr="0075468B">
        <w:t xml:space="preserve"> obtienen notas </w:t>
      </w:r>
      <w:r>
        <w:t>inferiores a 70</w:t>
      </w:r>
      <w:r w:rsidRPr="0075468B">
        <w:t xml:space="preserve">, en orden descendente se ubican de la siguiente forma: Caldera (65,2), Costanera (62,6), San José-frontera norte (54,2), San José-frontera sur (52,8) y </w:t>
      </w:r>
      <w:r>
        <w:t xml:space="preserve">Ruta 32, </w:t>
      </w:r>
      <w:r w:rsidRPr="0075468B">
        <w:t xml:space="preserve">carretera a Limón (46,2). </w:t>
      </w:r>
      <w:r w:rsidRPr="005C7A65">
        <w:t xml:space="preserve">No hay, sin embargo, diferencias estadísticamente </w:t>
      </w:r>
      <w:r w:rsidRPr="005C7A65">
        <w:lastRenderedPageBreak/>
        <w:t xml:space="preserve">significativas entre la carretera a Caldera y la Costanera; en otras palabras, </w:t>
      </w:r>
      <w:r w:rsidRPr="005C7A65">
        <w:rPr>
          <w:i/>
        </w:rPr>
        <w:t>aunque ambas son mejor calificadas que el resto, no se sabe cuál es la mejor entre estas dos (con un 95% de confianza)</w:t>
      </w:r>
      <w:r w:rsidRPr="005C7A65">
        <w:t>.</w:t>
      </w:r>
    </w:p>
    <w:p w:rsidR="00BF0536" w:rsidRDefault="00BF0536" w:rsidP="00C2394C">
      <w:pPr>
        <w:pStyle w:val="Sinespaciado"/>
      </w:pPr>
    </w:p>
    <w:p w:rsidR="004518A3" w:rsidRDefault="004518A3" w:rsidP="00C2394C">
      <w:pPr>
        <w:pStyle w:val="Sinespaciado"/>
      </w:pPr>
      <w:r w:rsidRPr="0075468B">
        <w:t xml:space="preserve">En cuanto a la opinión de los entrevistados sobre el desempeño de las instituciones nacionales involucradas con el mantenimiento construcción y desarrollo de las calles y carreteras del país, se realizó una calificación de cero a diez (cero es la nota mínima y diez es la nota máxima) donde  se puede destacar en términos generales, un 27,3% de los entrevistados le da una nota superior o igual a 7 al desempeño realizado por el MOPT. Por regiones la calificación más frecuente se encuentra en notas entre 5 y menos de 7. </w:t>
      </w:r>
      <w:r>
        <w:t>Los resultados promedio se pueden observar en la siguiente tabla.</w:t>
      </w:r>
    </w:p>
    <w:p w:rsidR="00BF0536" w:rsidRPr="0075468B" w:rsidRDefault="00BF0536" w:rsidP="00C2394C">
      <w:pPr>
        <w:pStyle w:val="Sinespaciado"/>
      </w:pPr>
    </w:p>
    <w:p w:rsidR="004518A3" w:rsidRDefault="004518A3" w:rsidP="00C2394C">
      <w:pPr>
        <w:pStyle w:val="Sinespaciado"/>
      </w:pPr>
      <w:bookmarkStart w:id="5" w:name="_Toc419189989"/>
      <w:r w:rsidRPr="005C392C">
        <w:t xml:space="preserve">Calificación </w:t>
      </w:r>
      <w:r>
        <w:t xml:space="preserve">promedio de las diferentes instituciones nacionales por parte de </w:t>
      </w:r>
      <w:r w:rsidRPr="005C392C">
        <w:t>los entrevistados según región</w:t>
      </w:r>
      <w:r>
        <w:t xml:space="preserve"> en que reside.</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92"/>
        <w:gridCol w:w="1745"/>
        <w:gridCol w:w="1747"/>
        <w:gridCol w:w="1747"/>
        <w:gridCol w:w="1747"/>
      </w:tblGrid>
      <w:tr w:rsidR="004518A3" w:rsidRPr="00696B81" w:rsidTr="00C2394C">
        <w:trPr>
          <w:trHeight w:val="300"/>
        </w:trPr>
        <w:tc>
          <w:tcPr>
            <w:tcW w:w="1109" w:type="pct"/>
            <w:vMerge w:val="restart"/>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Región</w:t>
            </w:r>
          </w:p>
        </w:tc>
        <w:tc>
          <w:tcPr>
            <w:tcW w:w="3891" w:type="pct"/>
            <w:gridSpan w:val="4"/>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Institución</w:t>
            </w:r>
          </w:p>
        </w:tc>
      </w:tr>
      <w:tr w:rsidR="004518A3" w:rsidRPr="00696B81" w:rsidTr="00C2394C">
        <w:trPr>
          <w:trHeight w:val="300"/>
        </w:trPr>
        <w:tc>
          <w:tcPr>
            <w:tcW w:w="1109" w:type="pct"/>
            <w:vMerge/>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p>
        </w:tc>
        <w:tc>
          <w:tcPr>
            <w:tcW w:w="972" w:type="pct"/>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MOPT</w:t>
            </w:r>
          </w:p>
        </w:tc>
        <w:tc>
          <w:tcPr>
            <w:tcW w:w="973" w:type="pct"/>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CONAVI</w:t>
            </w:r>
          </w:p>
        </w:tc>
        <w:tc>
          <w:tcPr>
            <w:tcW w:w="973" w:type="pct"/>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Municipalidades</w:t>
            </w:r>
          </w:p>
        </w:tc>
        <w:tc>
          <w:tcPr>
            <w:tcW w:w="973" w:type="pct"/>
            <w:shd w:val="clear" w:color="auto" w:fill="BFBFBF" w:themeFill="background1" w:themeFillShade="BF"/>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Lanamme</w:t>
            </w:r>
          </w:p>
        </w:tc>
      </w:tr>
      <w:tr w:rsidR="004518A3" w:rsidRPr="00696B81" w:rsidTr="00C2394C">
        <w:trPr>
          <w:trHeight w:val="300"/>
        </w:trPr>
        <w:tc>
          <w:tcPr>
            <w:tcW w:w="1109"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Metropolitana</w:t>
            </w:r>
          </w:p>
        </w:tc>
        <w:tc>
          <w:tcPr>
            <w:tcW w:w="972"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4,99</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4,75</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4,91</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6,13</w:t>
            </w:r>
          </w:p>
        </w:tc>
      </w:tr>
      <w:tr w:rsidR="004518A3" w:rsidRPr="00696B81" w:rsidTr="00C2394C">
        <w:trPr>
          <w:trHeight w:val="300"/>
        </w:trPr>
        <w:tc>
          <w:tcPr>
            <w:tcW w:w="1109"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Resto del Valle Central</w:t>
            </w:r>
          </w:p>
        </w:tc>
        <w:tc>
          <w:tcPr>
            <w:tcW w:w="972"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5,36</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5,05</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4,76</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5,9</w:t>
            </w:r>
            <w:r>
              <w:rPr>
                <w:rFonts w:eastAsia="Times New Roman" w:cs="Arial"/>
                <w:color w:val="000000"/>
                <w:sz w:val="18"/>
                <w:szCs w:val="18"/>
                <w:lang w:eastAsia="es-CR"/>
              </w:rPr>
              <w:t>0</w:t>
            </w:r>
          </w:p>
        </w:tc>
      </w:tr>
      <w:tr w:rsidR="004518A3" w:rsidRPr="00696B81" w:rsidTr="00C2394C">
        <w:trPr>
          <w:trHeight w:val="300"/>
        </w:trPr>
        <w:tc>
          <w:tcPr>
            <w:tcW w:w="1109"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Resto del país</w:t>
            </w:r>
          </w:p>
        </w:tc>
        <w:tc>
          <w:tcPr>
            <w:tcW w:w="972"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5,48</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5,2</w:t>
            </w:r>
            <w:r>
              <w:rPr>
                <w:rFonts w:eastAsia="Times New Roman" w:cs="Arial"/>
                <w:color w:val="000000"/>
                <w:sz w:val="18"/>
                <w:szCs w:val="18"/>
                <w:lang w:eastAsia="es-CR"/>
              </w:rPr>
              <w:t>0</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5,2</w:t>
            </w:r>
            <w:r>
              <w:rPr>
                <w:rFonts w:eastAsia="Times New Roman" w:cs="Arial"/>
                <w:color w:val="000000"/>
                <w:sz w:val="18"/>
                <w:szCs w:val="18"/>
                <w:lang w:eastAsia="es-CR"/>
              </w:rPr>
              <w:t>0</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696B81">
              <w:rPr>
                <w:rFonts w:eastAsia="Times New Roman" w:cs="Arial"/>
                <w:color w:val="000000"/>
                <w:sz w:val="18"/>
                <w:szCs w:val="18"/>
                <w:lang w:eastAsia="es-CR"/>
              </w:rPr>
              <w:t>6,43</w:t>
            </w:r>
          </w:p>
        </w:tc>
      </w:tr>
      <w:tr w:rsidR="004518A3" w:rsidRPr="00696B81" w:rsidTr="00C2394C">
        <w:trPr>
          <w:trHeight w:val="300"/>
        </w:trPr>
        <w:tc>
          <w:tcPr>
            <w:tcW w:w="1109" w:type="pct"/>
            <w:shd w:val="clear" w:color="auto" w:fill="auto"/>
            <w:noWrap/>
            <w:vAlign w:val="center"/>
            <w:hideMark/>
          </w:tcPr>
          <w:p w:rsidR="004518A3" w:rsidRPr="00696B81" w:rsidRDefault="004518A3" w:rsidP="00C2394C">
            <w:pPr>
              <w:spacing w:after="0" w:line="240" w:lineRule="auto"/>
              <w:jc w:val="center"/>
              <w:rPr>
                <w:rFonts w:eastAsia="Times New Roman" w:cs="Arial"/>
                <w:color w:val="000000"/>
                <w:sz w:val="18"/>
                <w:szCs w:val="18"/>
                <w:lang w:eastAsia="es-CR"/>
              </w:rPr>
            </w:pPr>
            <w:r w:rsidRPr="003B1CFC">
              <w:rPr>
                <w:rFonts w:cs="Arial"/>
                <w:b/>
                <w:sz w:val="18"/>
                <w:szCs w:val="20"/>
                <w:lang w:eastAsia="es-CR"/>
              </w:rPr>
              <w:t>Todas las regiones</w:t>
            </w:r>
          </w:p>
        </w:tc>
        <w:tc>
          <w:tcPr>
            <w:tcW w:w="972" w:type="pct"/>
            <w:shd w:val="clear" w:color="auto" w:fill="auto"/>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5,18</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4,92</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4,93</w:t>
            </w:r>
          </w:p>
        </w:tc>
        <w:tc>
          <w:tcPr>
            <w:tcW w:w="973" w:type="pct"/>
            <w:shd w:val="clear" w:color="auto" w:fill="auto"/>
            <w:noWrap/>
            <w:vAlign w:val="center"/>
            <w:hideMark/>
          </w:tcPr>
          <w:p w:rsidR="004518A3" w:rsidRPr="00696B81" w:rsidRDefault="004518A3" w:rsidP="00C2394C">
            <w:pPr>
              <w:spacing w:after="0" w:line="240" w:lineRule="auto"/>
              <w:jc w:val="center"/>
              <w:rPr>
                <w:rFonts w:eastAsia="Times New Roman" w:cs="Arial"/>
                <w:b/>
                <w:color w:val="000000"/>
                <w:sz w:val="18"/>
                <w:szCs w:val="18"/>
                <w:lang w:eastAsia="es-CR"/>
              </w:rPr>
            </w:pPr>
            <w:r w:rsidRPr="00696B81">
              <w:rPr>
                <w:rFonts w:eastAsia="Times New Roman" w:cs="Arial"/>
                <w:b/>
                <w:color w:val="000000"/>
                <w:sz w:val="18"/>
                <w:szCs w:val="18"/>
                <w:lang w:eastAsia="es-CR"/>
              </w:rPr>
              <w:t>6,13</w:t>
            </w:r>
          </w:p>
        </w:tc>
      </w:tr>
    </w:tbl>
    <w:p w:rsidR="004518A3" w:rsidRPr="00F60AB1" w:rsidRDefault="004518A3" w:rsidP="00F60AB1">
      <w:pPr>
        <w:spacing w:line="240" w:lineRule="auto"/>
        <w:jc w:val="center"/>
        <w:rPr>
          <w:sz w:val="16"/>
          <w:szCs w:val="16"/>
        </w:rPr>
      </w:pPr>
      <w:r w:rsidRPr="00F60AB1">
        <w:rPr>
          <w:sz w:val="16"/>
          <w:szCs w:val="16"/>
        </w:rPr>
        <w:t>Fuente: Encuesta Percepción de la Red Vial del país LanammeUCR - CIEP. 2014</w:t>
      </w:r>
    </w:p>
    <w:p w:rsidR="004518A3" w:rsidRDefault="004518A3" w:rsidP="00C2394C">
      <w:pPr>
        <w:pStyle w:val="Sinespaciado"/>
      </w:pPr>
      <w:r w:rsidRPr="0075468B">
        <w:t xml:space="preserve">En promedio el MOPT </w:t>
      </w:r>
      <w:r>
        <w:t xml:space="preserve"> posee una calificación de 5,18, l</w:t>
      </w:r>
      <w:r w:rsidRPr="0075468B">
        <w:t xml:space="preserve">a calificación que se le otorga la CONAVI es de 4,92, en general, 25% de los entrevistados le da una nota de 7 o superior, cuatro de cada 10 le asignado una nota entre 5 y 7. En cuanto al desempeño de las municipalidades, obtiene una nota promedio de 4,93, es de recatar que en la resto del país obtiene una nota superior al promedio con 5,20. La entidad  mejor calificada se encuentra el Lanamme, con una nota general de 6,13. </w:t>
      </w:r>
    </w:p>
    <w:p w:rsidR="00BF0536" w:rsidRPr="0075468B" w:rsidRDefault="00BF0536" w:rsidP="00C2394C">
      <w:pPr>
        <w:pStyle w:val="Sinespaciado"/>
      </w:pPr>
    </w:p>
    <w:p w:rsidR="00BF0536" w:rsidRDefault="004518A3" w:rsidP="00C2394C">
      <w:pPr>
        <w:pStyle w:val="Sinespaciado"/>
      </w:pPr>
      <w:r w:rsidRPr="0075468B">
        <w:t>Con las preguntas e indicadores antes vistos se construyeron tres índices. El primero, llamado índice de infraestructura, corresponde a un promedio de 0 a 100 entre las valoraciones del estado de las calles, carreteras, puentes y aceras. El índice de carreteras principales promedia las notas a las cinco vías principales. Por su parte, el índice institucional corresponde a la media de valoraciones de las cuatro instituciones de</w:t>
      </w:r>
      <w:r>
        <w:t xml:space="preserve"> </w:t>
      </w:r>
      <w:r w:rsidRPr="0075468B">
        <w:t>l</w:t>
      </w:r>
      <w:r>
        <w:t>a</w:t>
      </w:r>
      <w:r w:rsidR="00BF0536">
        <w:t xml:space="preserve"> tabla anterior</w:t>
      </w:r>
      <w:r>
        <w:t xml:space="preserve">, </w:t>
      </w:r>
      <w:r w:rsidRPr="0075468B">
        <w:t xml:space="preserve">pero </w:t>
      </w:r>
      <w:r>
        <w:t>modificando la escala</w:t>
      </w:r>
      <w:r w:rsidRPr="0075468B">
        <w:t xml:space="preserve"> de 0 a 100 para poderse comparar con los dos anteriores</w:t>
      </w:r>
      <w:r>
        <w:t xml:space="preserve">, en la </w:t>
      </w:r>
      <w:fldSimple w:instr=" REF _Ref418684886 \h  \* MERGEFORMAT "/>
      <w:r w:rsidR="00BF0536">
        <w:t>siguiente figura donde</w:t>
      </w:r>
      <w:r>
        <w:t xml:space="preserve"> se muestran los índices obtenidos</w:t>
      </w:r>
      <w:r w:rsidRPr="0075468B">
        <w:t>.</w:t>
      </w:r>
    </w:p>
    <w:p w:rsidR="00D1095F" w:rsidRPr="0075468B" w:rsidRDefault="00D1095F" w:rsidP="00C2394C">
      <w:pPr>
        <w:pStyle w:val="Sinespaciado"/>
      </w:pPr>
    </w:p>
    <w:tbl>
      <w:tblPr>
        <w:tblStyle w:val="Tablaconcuadrcula"/>
        <w:tblpPr w:leftFromText="141" w:rightFromText="141" w:vertAnchor="text" w:horzAnchor="margin" w:tblpY="21"/>
        <w:tblW w:w="0" w:type="auto"/>
        <w:tblLook w:val="04A0"/>
      </w:tblPr>
      <w:tblGrid>
        <w:gridCol w:w="8065"/>
      </w:tblGrid>
      <w:tr w:rsidR="004518A3" w:rsidRPr="005C7A65" w:rsidTr="00F60AB1">
        <w:trPr>
          <w:trHeight w:val="3270"/>
        </w:trPr>
        <w:tc>
          <w:tcPr>
            <w:tcW w:w="8065" w:type="dxa"/>
            <w:vAlign w:val="center"/>
          </w:tcPr>
          <w:p w:rsidR="004518A3" w:rsidRDefault="004518A3" w:rsidP="00C2394C">
            <w:pPr>
              <w:jc w:val="center"/>
              <w:rPr>
                <w:rFonts w:cs="Arial"/>
                <w:lang w:val="es-CR"/>
              </w:rPr>
            </w:pPr>
          </w:p>
          <w:p w:rsidR="004518A3" w:rsidRPr="005C7A65" w:rsidRDefault="004518A3" w:rsidP="00C2394C">
            <w:pPr>
              <w:jc w:val="center"/>
              <w:rPr>
                <w:rFonts w:cs="Arial"/>
                <w:lang w:val="es-CR"/>
              </w:rPr>
            </w:pPr>
            <w:r w:rsidRPr="00696B81">
              <w:rPr>
                <w:rFonts w:cs="Arial"/>
                <w:noProof/>
              </w:rPr>
              <w:drawing>
                <wp:inline distT="0" distB="0" distL="0" distR="0">
                  <wp:extent cx="3908894" cy="1475795"/>
                  <wp:effectExtent l="19050" t="76200" r="0" b="0"/>
                  <wp:docPr id="5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518A3" w:rsidRPr="007923A1" w:rsidRDefault="004518A3" w:rsidP="007923A1">
            <w:pPr>
              <w:pStyle w:val="Prrafodelista"/>
              <w:ind w:hanging="720"/>
              <w:jc w:val="center"/>
              <w:rPr>
                <w:rFonts w:cs="Arial"/>
                <w:sz w:val="16"/>
                <w:szCs w:val="16"/>
                <w:lang w:val="es-CR"/>
              </w:rPr>
            </w:pPr>
            <w:r w:rsidRPr="007923A1">
              <w:rPr>
                <w:rFonts w:cs="Arial"/>
                <w:sz w:val="16"/>
                <w:szCs w:val="16"/>
                <w:lang w:val="es-CR"/>
              </w:rPr>
              <w:t>Fuente: Encuesta Percepción de la Red Vial del país LanammeUCR - CIEP. 2014</w:t>
            </w:r>
          </w:p>
        </w:tc>
      </w:tr>
    </w:tbl>
    <w:p w:rsidR="00F60AB1" w:rsidRDefault="00F60AB1" w:rsidP="004518A3">
      <w:pPr>
        <w:pStyle w:val="Prrafodelista"/>
        <w:ind w:hanging="720"/>
        <w:jc w:val="center"/>
      </w:pPr>
      <w:bookmarkStart w:id="6" w:name="_Toc419189948"/>
    </w:p>
    <w:p w:rsidR="00F60AB1" w:rsidRDefault="00F60AB1" w:rsidP="004518A3">
      <w:pPr>
        <w:pStyle w:val="Prrafodelista"/>
        <w:ind w:hanging="720"/>
        <w:jc w:val="center"/>
      </w:pPr>
    </w:p>
    <w:p w:rsidR="00F60AB1" w:rsidRDefault="00F60AB1" w:rsidP="004518A3">
      <w:pPr>
        <w:pStyle w:val="Prrafodelista"/>
        <w:ind w:hanging="720"/>
        <w:jc w:val="center"/>
      </w:pPr>
    </w:p>
    <w:p w:rsidR="00F60AB1" w:rsidRDefault="00F60AB1" w:rsidP="004518A3">
      <w:pPr>
        <w:pStyle w:val="Prrafodelista"/>
        <w:ind w:hanging="720"/>
        <w:jc w:val="center"/>
      </w:pPr>
    </w:p>
    <w:p w:rsidR="00F60AB1" w:rsidRDefault="00F60AB1" w:rsidP="004518A3">
      <w:pPr>
        <w:pStyle w:val="Prrafodelista"/>
        <w:ind w:hanging="720"/>
        <w:jc w:val="center"/>
      </w:pPr>
    </w:p>
    <w:p w:rsidR="00F60AB1" w:rsidRDefault="00F60AB1" w:rsidP="004518A3">
      <w:pPr>
        <w:pStyle w:val="Prrafodelista"/>
        <w:ind w:hanging="720"/>
        <w:jc w:val="center"/>
      </w:pPr>
    </w:p>
    <w:p w:rsidR="00F60AB1" w:rsidRDefault="00F60AB1" w:rsidP="004518A3">
      <w:pPr>
        <w:pStyle w:val="Prrafodelista"/>
        <w:ind w:hanging="720"/>
        <w:jc w:val="center"/>
      </w:pPr>
    </w:p>
    <w:p w:rsidR="00F60AB1" w:rsidRDefault="00F60AB1" w:rsidP="004518A3">
      <w:pPr>
        <w:pStyle w:val="Prrafodelista"/>
        <w:ind w:hanging="720"/>
        <w:jc w:val="center"/>
      </w:pPr>
    </w:p>
    <w:p w:rsidR="00F60AB1" w:rsidRDefault="00F60AB1" w:rsidP="004518A3">
      <w:pPr>
        <w:pStyle w:val="Prrafodelista"/>
        <w:ind w:hanging="720"/>
        <w:jc w:val="center"/>
      </w:pPr>
    </w:p>
    <w:p w:rsidR="004518A3" w:rsidRDefault="004518A3" w:rsidP="004518A3">
      <w:pPr>
        <w:pStyle w:val="Prrafodelista"/>
        <w:ind w:hanging="720"/>
        <w:jc w:val="center"/>
        <w:rPr>
          <w:highlight w:val="yellow"/>
        </w:rPr>
      </w:pPr>
      <w:r w:rsidRPr="0075468B">
        <w:t>Índices de percepción sobre la Red Vial</w:t>
      </w:r>
      <w:r>
        <w:t>,</w:t>
      </w:r>
      <w:r w:rsidRPr="0075468B">
        <w:t xml:space="preserve"> </w:t>
      </w:r>
      <w:r>
        <w:t>Notas de 0 a 100</w:t>
      </w:r>
      <w:bookmarkEnd w:id="6"/>
    </w:p>
    <w:p w:rsidR="004518A3" w:rsidRDefault="004518A3" w:rsidP="00C2394C">
      <w:pPr>
        <w:pStyle w:val="Sinespaciado"/>
      </w:pPr>
      <w:r w:rsidRPr="0075468B">
        <w:lastRenderedPageBreak/>
        <w:t>La nota media más alta es la de carreteras principales (54,6) mientras la menor es de infraestructura (27,5); el índice institucional es intermedio (52,7). No obstante, debe tenerse presente que el índice de carreteras aplica solamente para una muestra de 355 personas dado que las valoraciones de las carreteras fueron realizadas únicamente por los usuarios de ellas.</w:t>
      </w:r>
    </w:p>
    <w:p w:rsidR="00BF0536" w:rsidRPr="0075468B" w:rsidRDefault="00BF0536" w:rsidP="00C2394C">
      <w:pPr>
        <w:pStyle w:val="Sinespaciado"/>
      </w:pPr>
    </w:p>
    <w:p w:rsidR="004518A3" w:rsidRDefault="004518A3" w:rsidP="00C2394C">
      <w:pPr>
        <w:pStyle w:val="Sinespaciado"/>
      </w:pPr>
      <w:r w:rsidRPr="0075468B">
        <w:t>Interesa conocer si existen variaciones importantes en el índice de infraestructura cuando se cruza con otras variables. En primer lugar, según el medio de transporte más utilizado no se observan variaciones significativas estadísticamente (p=0,198). Es decir, el índice no cambia sustantivamente según el transporte principal que usan las personas.</w:t>
      </w:r>
    </w:p>
    <w:p w:rsidR="00F60AB1" w:rsidRPr="0075468B" w:rsidRDefault="00F60AB1" w:rsidP="00C2394C">
      <w:pPr>
        <w:pStyle w:val="Sinespaciado"/>
      </w:pPr>
    </w:p>
    <w:p w:rsidR="004518A3" w:rsidRDefault="004518A3" w:rsidP="004518A3">
      <w:pPr>
        <w:spacing w:line="240" w:lineRule="auto"/>
        <w:jc w:val="center"/>
      </w:pPr>
      <w:bookmarkStart w:id="7" w:name="_Toc419189990"/>
      <w:r>
        <w:t>Índice de infraestructura según el medio de transporte más empleado</w:t>
      </w:r>
      <w:bookmarkEnd w:id="7"/>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31"/>
        <w:gridCol w:w="2508"/>
      </w:tblGrid>
      <w:tr w:rsidR="004518A3" w:rsidRPr="003F4CB0" w:rsidTr="00F60AB1">
        <w:trPr>
          <w:trHeight w:val="273"/>
        </w:trPr>
        <w:tc>
          <w:tcPr>
            <w:tcW w:w="3565" w:type="pct"/>
            <w:shd w:val="clear" w:color="auto" w:fill="BFBFBF" w:themeFill="background1" w:themeFillShade="BF"/>
            <w:noWrap/>
            <w:vAlign w:val="center"/>
            <w:hideMark/>
          </w:tcPr>
          <w:p w:rsidR="004518A3" w:rsidRPr="003F4CB0" w:rsidRDefault="004518A3" w:rsidP="00C2394C">
            <w:pPr>
              <w:spacing w:after="0" w:line="240" w:lineRule="auto"/>
              <w:jc w:val="center"/>
              <w:rPr>
                <w:rFonts w:cs="Arial"/>
                <w:b/>
                <w:sz w:val="18"/>
                <w:szCs w:val="18"/>
              </w:rPr>
            </w:pPr>
            <w:r w:rsidRPr="003F4CB0">
              <w:rPr>
                <w:rFonts w:cs="Arial"/>
                <w:b/>
                <w:sz w:val="18"/>
                <w:szCs w:val="18"/>
              </w:rPr>
              <w:t>Medio de transporte</w:t>
            </w:r>
          </w:p>
        </w:tc>
        <w:tc>
          <w:tcPr>
            <w:tcW w:w="1435" w:type="pct"/>
            <w:shd w:val="clear" w:color="auto" w:fill="BFBFBF" w:themeFill="background1" w:themeFillShade="BF"/>
            <w:noWrap/>
            <w:vAlign w:val="center"/>
            <w:hideMark/>
          </w:tcPr>
          <w:p w:rsidR="004518A3" w:rsidRPr="003F4CB0" w:rsidRDefault="004518A3" w:rsidP="00C2394C">
            <w:pPr>
              <w:spacing w:after="0" w:line="240" w:lineRule="auto"/>
              <w:jc w:val="center"/>
              <w:rPr>
                <w:rFonts w:cs="Arial"/>
                <w:b/>
                <w:sz w:val="18"/>
                <w:szCs w:val="18"/>
              </w:rPr>
            </w:pPr>
            <w:r w:rsidRPr="003F4CB0">
              <w:rPr>
                <w:rFonts w:cs="Arial"/>
                <w:b/>
                <w:sz w:val="18"/>
                <w:szCs w:val="18"/>
              </w:rPr>
              <w:t>Índice de Infraestructura</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Moto</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29</w:t>
            </w:r>
            <w:r>
              <w:rPr>
                <w:rFonts w:cs="Arial"/>
                <w:sz w:val="18"/>
                <w:szCs w:val="18"/>
              </w:rPr>
              <w:t>,</w:t>
            </w:r>
            <w:r w:rsidRPr="003F4CB0">
              <w:rPr>
                <w:rFonts w:cs="Arial"/>
                <w:sz w:val="18"/>
                <w:szCs w:val="18"/>
              </w:rPr>
              <w:t>8</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Taxi</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28</w:t>
            </w:r>
            <w:r>
              <w:rPr>
                <w:rFonts w:cs="Arial"/>
                <w:sz w:val="18"/>
                <w:szCs w:val="18"/>
              </w:rPr>
              <w:t>,</w:t>
            </w:r>
            <w:r w:rsidRPr="003F4CB0">
              <w:rPr>
                <w:rFonts w:cs="Arial"/>
                <w:sz w:val="18"/>
                <w:szCs w:val="18"/>
              </w:rPr>
              <w:t>6</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Vehículo automóvil</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28</w:t>
            </w:r>
            <w:r>
              <w:rPr>
                <w:rFonts w:cs="Arial"/>
                <w:sz w:val="18"/>
                <w:szCs w:val="18"/>
              </w:rPr>
              <w:t>,</w:t>
            </w:r>
            <w:r w:rsidRPr="003F4CB0">
              <w:rPr>
                <w:rFonts w:cs="Arial"/>
                <w:sz w:val="18"/>
                <w:szCs w:val="18"/>
              </w:rPr>
              <w:t>0</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Bicicleta</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27</w:t>
            </w:r>
            <w:r>
              <w:rPr>
                <w:rFonts w:cs="Arial"/>
                <w:sz w:val="18"/>
                <w:szCs w:val="18"/>
              </w:rPr>
              <w:t>,</w:t>
            </w:r>
            <w:r w:rsidRPr="003F4CB0">
              <w:rPr>
                <w:rFonts w:cs="Arial"/>
                <w:sz w:val="18"/>
                <w:szCs w:val="18"/>
              </w:rPr>
              <w:t>8</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Autobús</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27</w:t>
            </w:r>
            <w:r>
              <w:rPr>
                <w:rFonts w:cs="Arial"/>
                <w:sz w:val="18"/>
                <w:szCs w:val="18"/>
              </w:rPr>
              <w:t>,</w:t>
            </w:r>
            <w:r w:rsidRPr="003F4CB0">
              <w:rPr>
                <w:rFonts w:cs="Arial"/>
                <w:sz w:val="18"/>
                <w:szCs w:val="18"/>
              </w:rPr>
              <w:t>6</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Tren</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27</w:t>
            </w:r>
            <w:r>
              <w:rPr>
                <w:rFonts w:cs="Arial"/>
                <w:sz w:val="18"/>
                <w:szCs w:val="18"/>
              </w:rPr>
              <w:t>,</w:t>
            </w:r>
            <w:r w:rsidRPr="003F4CB0">
              <w:rPr>
                <w:rFonts w:cs="Arial"/>
                <w:sz w:val="18"/>
                <w:szCs w:val="18"/>
              </w:rPr>
              <w:t>4</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Es chofer de autobús, taxi o tren</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25</w:t>
            </w:r>
            <w:r>
              <w:rPr>
                <w:rFonts w:cs="Arial"/>
                <w:sz w:val="18"/>
                <w:szCs w:val="18"/>
              </w:rPr>
              <w:t>,</w:t>
            </w:r>
            <w:r w:rsidRPr="003F4CB0">
              <w:rPr>
                <w:rFonts w:cs="Arial"/>
                <w:sz w:val="18"/>
                <w:szCs w:val="18"/>
              </w:rPr>
              <w:t>0</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sz w:val="18"/>
                <w:szCs w:val="18"/>
              </w:rPr>
            </w:pPr>
            <w:r w:rsidRPr="003F4CB0">
              <w:rPr>
                <w:rFonts w:cs="Arial"/>
                <w:sz w:val="18"/>
                <w:szCs w:val="18"/>
              </w:rPr>
              <w:t>Movilizarse a pie</w:t>
            </w:r>
          </w:p>
        </w:tc>
        <w:tc>
          <w:tcPr>
            <w:tcW w:w="1435" w:type="pct"/>
            <w:shd w:val="clear" w:color="auto" w:fill="auto"/>
            <w:noWrap/>
            <w:vAlign w:val="center"/>
            <w:hideMark/>
          </w:tcPr>
          <w:p w:rsidR="004518A3" w:rsidRPr="003F4CB0" w:rsidRDefault="004518A3" w:rsidP="00C2394C">
            <w:pPr>
              <w:spacing w:after="0" w:line="240" w:lineRule="auto"/>
              <w:jc w:val="center"/>
              <w:rPr>
                <w:rFonts w:cs="Arial"/>
                <w:sz w:val="18"/>
                <w:szCs w:val="18"/>
              </w:rPr>
            </w:pPr>
            <w:r w:rsidRPr="003F4CB0">
              <w:rPr>
                <w:rFonts w:cs="Arial"/>
                <w:sz w:val="18"/>
                <w:szCs w:val="18"/>
              </w:rPr>
              <w:t>20</w:t>
            </w:r>
            <w:r>
              <w:rPr>
                <w:rFonts w:cs="Arial"/>
                <w:sz w:val="18"/>
                <w:szCs w:val="18"/>
              </w:rPr>
              <w:t>,</w:t>
            </w:r>
            <w:r w:rsidRPr="003F4CB0">
              <w:rPr>
                <w:rFonts w:cs="Arial"/>
                <w:sz w:val="18"/>
                <w:szCs w:val="18"/>
              </w:rPr>
              <w:t>0</w:t>
            </w:r>
          </w:p>
        </w:tc>
      </w:tr>
      <w:tr w:rsidR="004518A3" w:rsidRPr="003F4CB0" w:rsidTr="00F60AB1">
        <w:trPr>
          <w:trHeight w:val="273"/>
        </w:trPr>
        <w:tc>
          <w:tcPr>
            <w:tcW w:w="3565" w:type="pct"/>
            <w:shd w:val="clear" w:color="auto" w:fill="auto"/>
            <w:noWrap/>
            <w:vAlign w:val="center"/>
            <w:hideMark/>
          </w:tcPr>
          <w:p w:rsidR="004518A3" w:rsidRPr="003F4CB0" w:rsidRDefault="004518A3" w:rsidP="00C2394C">
            <w:pPr>
              <w:spacing w:after="0" w:line="240" w:lineRule="auto"/>
              <w:jc w:val="left"/>
              <w:rPr>
                <w:rFonts w:cs="Arial"/>
                <w:b/>
                <w:sz w:val="18"/>
                <w:szCs w:val="18"/>
              </w:rPr>
            </w:pPr>
            <w:r w:rsidRPr="003F4CB0">
              <w:rPr>
                <w:rFonts w:cs="Arial"/>
                <w:b/>
                <w:sz w:val="18"/>
                <w:szCs w:val="18"/>
              </w:rPr>
              <w:t>Combinando todos los medios</w:t>
            </w:r>
          </w:p>
        </w:tc>
        <w:tc>
          <w:tcPr>
            <w:tcW w:w="1435" w:type="pct"/>
            <w:shd w:val="clear" w:color="auto" w:fill="auto"/>
            <w:noWrap/>
            <w:vAlign w:val="center"/>
            <w:hideMark/>
          </w:tcPr>
          <w:p w:rsidR="004518A3" w:rsidRPr="003F4CB0" w:rsidRDefault="004518A3" w:rsidP="00C2394C">
            <w:pPr>
              <w:spacing w:after="0" w:line="240" w:lineRule="auto"/>
              <w:jc w:val="center"/>
              <w:rPr>
                <w:rFonts w:cs="Arial"/>
                <w:b/>
                <w:sz w:val="18"/>
                <w:szCs w:val="18"/>
              </w:rPr>
            </w:pPr>
            <w:r w:rsidRPr="003F4CB0">
              <w:rPr>
                <w:rFonts w:cs="Arial"/>
                <w:b/>
                <w:sz w:val="18"/>
                <w:szCs w:val="18"/>
              </w:rPr>
              <w:t>27</w:t>
            </w:r>
            <w:r>
              <w:rPr>
                <w:rFonts w:cs="Arial"/>
                <w:b/>
                <w:sz w:val="18"/>
                <w:szCs w:val="18"/>
              </w:rPr>
              <w:t>,</w:t>
            </w:r>
            <w:r w:rsidRPr="003F4CB0">
              <w:rPr>
                <w:rFonts w:cs="Arial"/>
                <w:b/>
                <w:sz w:val="18"/>
                <w:szCs w:val="18"/>
              </w:rPr>
              <w:t>5</w:t>
            </w:r>
          </w:p>
        </w:tc>
      </w:tr>
    </w:tbl>
    <w:p w:rsidR="004518A3" w:rsidRDefault="004518A3" w:rsidP="00F60AB1">
      <w:pPr>
        <w:spacing w:after="0"/>
        <w:jc w:val="center"/>
        <w:rPr>
          <w:rFonts w:cs="Arial"/>
          <w:sz w:val="16"/>
          <w:szCs w:val="16"/>
        </w:rPr>
      </w:pPr>
      <w:r w:rsidRPr="007923A1">
        <w:rPr>
          <w:rFonts w:cs="Arial"/>
          <w:sz w:val="16"/>
          <w:szCs w:val="16"/>
        </w:rPr>
        <w:t>Fuente: Encuesta Percepción de la Red Vial del país LanammeUCR - CIEP. 2014</w:t>
      </w:r>
    </w:p>
    <w:p w:rsidR="00D1095F" w:rsidRPr="007923A1" w:rsidRDefault="00D1095F" w:rsidP="00F60AB1">
      <w:pPr>
        <w:spacing w:after="0"/>
        <w:jc w:val="center"/>
        <w:rPr>
          <w:sz w:val="16"/>
          <w:szCs w:val="16"/>
        </w:rPr>
      </w:pPr>
    </w:p>
    <w:p w:rsidR="004518A3" w:rsidRDefault="004518A3" w:rsidP="00C2394C">
      <w:pPr>
        <w:pStyle w:val="Sinespaciado"/>
      </w:pPr>
      <w:r w:rsidRPr="0075468B">
        <w:t xml:space="preserve">En segundo lugar, se buscó si el nivel de conocimiento que presentan las personas </w:t>
      </w:r>
      <w:r>
        <w:t>se relaciona con la forma con que</w:t>
      </w:r>
      <w:r w:rsidRPr="0075468B">
        <w:t xml:space="preserve"> evalúan el estado de la infraestructural. </w:t>
      </w:r>
      <w:r>
        <w:t xml:space="preserve">En la encuesta se emplearon preguntas para establecer el conocimiento de los entrevistados </w:t>
      </w:r>
      <w:r w:rsidRPr="0075468B">
        <w:t xml:space="preserve">sobre instituciones y rutas del país. Esta </w:t>
      </w:r>
      <w:r>
        <w:t xml:space="preserve">información </w:t>
      </w:r>
      <w:r w:rsidRPr="0075468B">
        <w:t xml:space="preserve">se utiliza como </w:t>
      </w:r>
      <w:proofErr w:type="spellStart"/>
      <w:r w:rsidRPr="0075468B">
        <w:t>covariable</w:t>
      </w:r>
      <w:proofErr w:type="spellEnd"/>
      <w:r w:rsidRPr="0075468B">
        <w:t xml:space="preserve"> en un modelo de regresión donde la variable dependiente es el índice de infraestructura y se especifican como controles el sexo, la edad, el nivel educativo, el ingreso económico y la región.</w:t>
      </w:r>
      <w:r>
        <w:t xml:space="preserve"> En la </w:t>
      </w:r>
      <w:fldSimple w:instr=" REF _Ref418686541 \h  \* MERGEFORMAT ">
        <w:r w:rsidRPr="00FB530A">
          <w:t xml:space="preserve">Tabla </w:t>
        </w:r>
        <w:r>
          <w:rPr>
            <w:noProof/>
          </w:rPr>
          <w:t>42</w:t>
        </w:r>
      </w:fldSimple>
      <w:r>
        <w:t xml:space="preserve"> se pueden observar los coeficientes, errores estándar y significancia de los datos para cada variable, dentro del modelos de mínimos cuadrados ordinarios,</w:t>
      </w:r>
      <w:r w:rsidRPr="00697708">
        <w:t xml:space="preserve"> </w:t>
      </w:r>
      <w:r>
        <w:t>para obtener el índice de infraestructura, a fin de determinar si existe alguna relación directa entre cada variable y la nota.</w:t>
      </w:r>
    </w:p>
    <w:p w:rsidR="007923A1" w:rsidRPr="0075468B" w:rsidRDefault="007923A1" w:rsidP="00C2394C">
      <w:pPr>
        <w:pStyle w:val="Sinespaciado"/>
      </w:pPr>
    </w:p>
    <w:p w:rsidR="004518A3" w:rsidRPr="0075468B" w:rsidRDefault="004518A3" w:rsidP="004518A3">
      <w:pPr>
        <w:spacing w:after="0"/>
        <w:jc w:val="center"/>
      </w:pPr>
      <w:bookmarkStart w:id="8" w:name="_Toc419189991"/>
      <w:r w:rsidRPr="0075468B">
        <w:t>Modelo estimado para el índice de infraestructura</w:t>
      </w:r>
      <w:r>
        <w:t xml:space="preserve"> (</w:t>
      </w:r>
      <w:r w:rsidRPr="00D57007">
        <w:t>R</w:t>
      </w:r>
      <w:r w:rsidRPr="00D57007">
        <w:rPr>
          <w:vertAlign w:val="superscript"/>
        </w:rPr>
        <w:t>2</w:t>
      </w:r>
      <w:r w:rsidRPr="00D57007">
        <w:t xml:space="preserve"> ajustado=0,032)</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97"/>
        <w:gridCol w:w="1875"/>
        <w:gridCol w:w="1875"/>
        <w:gridCol w:w="2031"/>
      </w:tblGrid>
      <w:tr w:rsidR="004518A3" w:rsidRPr="00767E59" w:rsidTr="00C2394C">
        <w:trPr>
          <w:trHeight w:val="300"/>
        </w:trPr>
        <w:tc>
          <w:tcPr>
            <w:tcW w:w="1781" w:type="pct"/>
            <w:shd w:val="clear" w:color="auto" w:fill="BFBFBF" w:themeFill="background1" w:themeFillShade="BF"/>
            <w:noWrap/>
            <w:vAlign w:val="center"/>
            <w:hideMark/>
          </w:tcPr>
          <w:p w:rsidR="004518A3" w:rsidRPr="00767E59" w:rsidRDefault="004518A3" w:rsidP="00C2394C">
            <w:pPr>
              <w:spacing w:after="0" w:line="240" w:lineRule="auto"/>
              <w:jc w:val="center"/>
              <w:rPr>
                <w:rFonts w:cs="Arial"/>
                <w:b/>
                <w:sz w:val="20"/>
                <w:szCs w:val="20"/>
              </w:rPr>
            </w:pPr>
            <w:r w:rsidRPr="00767E59">
              <w:rPr>
                <w:rFonts w:cs="Arial"/>
                <w:b/>
                <w:sz w:val="20"/>
                <w:szCs w:val="20"/>
              </w:rPr>
              <w:t>Variable</w:t>
            </w:r>
          </w:p>
        </w:tc>
        <w:tc>
          <w:tcPr>
            <w:tcW w:w="1044" w:type="pct"/>
            <w:shd w:val="clear" w:color="auto" w:fill="BFBFBF" w:themeFill="background1" w:themeFillShade="BF"/>
            <w:noWrap/>
            <w:vAlign w:val="center"/>
            <w:hideMark/>
          </w:tcPr>
          <w:p w:rsidR="004518A3" w:rsidRPr="00767E59" w:rsidRDefault="004518A3" w:rsidP="00C2394C">
            <w:pPr>
              <w:spacing w:after="0" w:line="240" w:lineRule="auto"/>
              <w:jc w:val="center"/>
              <w:rPr>
                <w:rFonts w:cs="Arial"/>
                <w:b/>
                <w:sz w:val="20"/>
                <w:szCs w:val="20"/>
              </w:rPr>
            </w:pPr>
            <w:r w:rsidRPr="00767E59">
              <w:rPr>
                <w:rFonts w:cs="Arial"/>
                <w:b/>
                <w:sz w:val="20"/>
                <w:szCs w:val="20"/>
              </w:rPr>
              <w:t>Coeficiente</w:t>
            </w:r>
          </w:p>
        </w:tc>
        <w:tc>
          <w:tcPr>
            <w:tcW w:w="1044" w:type="pct"/>
            <w:shd w:val="clear" w:color="auto" w:fill="BFBFBF" w:themeFill="background1" w:themeFillShade="BF"/>
            <w:noWrap/>
            <w:vAlign w:val="center"/>
            <w:hideMark/>
          </w:tcPr>
          <w:p w:rsidR="004518A3" w:rsidRPr="00767E59" w:rsidRDefault="004518A3" w:rsidP="00C2394C">
            <w:pPr>
              <w:spacing w:after="0" w:line="240" w:lineRule="auto"/>
              <w:jc w:val="center"/>
              <w:rPr>
                <w:rFonts w:cs="Arial"/>
                <w:b/>
                <w:sz w:val="20"/>
                <w:szCs w:val="20"/>
              </w:rPr>
            </w:pPr>
            <w:r w:rsidRPr="00767E59">
              <w:rPr>
                <w:rFonts w:cs="Arial"/>
                <w:b/>
                <w:sz w:val="20"/>
                <w:szCs w:val="20"/>
              </w:rPr>
              <w:t>Error estándar</w:t>
            </w:r>
          </w:p>
        </w:tc>
        <w:tc>
          <w:tcPr>
            <w:tcW w:w="1131" w:type="pct"/>
            <w:shd w:val="clear" w:color="auto" w:fill="BFBFBF" w:themeFill="background1" w:themeFillShade="BF"/>
            <w:noWrap/>
            <w:vAlign w:val="center"/>
            <w:hideMark/>
          </w:tcPr>
          <w:p w:rsidR="004518A3" w:rsidRPr="00767E59" w:rsidRDefault="004518A3" w:rsidP="00C2394C">
            <w:pPr>
              <w:spacing w:after="0" w:line="240" w:lineRule="auto"/>
              <w:jc w:val="center"/>
              <w:rPr>
                <w:rFonts w:cs="Arial"/>
                <w:b/>
                <w:sz w:val="20"/>
                <w:szCs w:val="20"/>
              </w:rPr>
            </w:pPr>
            <w:r w:rsidRPr="00767E59">
              <w:rPr>
                <w:rFonts w:cs="Arial"/>
                <w:b/>
                <w:sz w:val="20"/>
                <w:szCs w:val="20"/>
              </w:rPr>
              <w:t>Significancia</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Intercepto</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29</w:t>
            </w:r>
            <w:r>
              <w:rPr>
                <w:rFonts w:cs="Arial"/>
                <w:sz w:val="20"/>
                <w:szCs w:val="20"/>
              </w:rPr>
              <w:t>,</w:t>
            </w:r>
            <w:r w:rsidRPr="009A2608">
              <w:rPr>
                <w:rFonts w:cs="Arial"/>
                <w:sz w:val="20"/>
                <w:szCs w:val="20"/>
              </w:rPr>
              <w:t>886</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2</w:t>
            </w:r>
            <w:r>
              <w:rPr>
                <w:rFonts w:cs="Arial"/>
                <w:sz w:val="20"/>
                <w:szCs w:val="20"/>
              </w:rPr>
              <w:t>,</w:t>
            </w:r>
            <w:r w:rsidRPr="009A2608">
              <w:rPr>
                <w:rFonts w:cs="Arial"/>
                <w:sz w:val="20"/>
                <w:szCs w:val="20"/>
              </w:rPr>
              <w:t>496</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000</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Índice de conocimiento</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280</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392</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475</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Mujer</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-2</w:t>
            </w:r>
            <w:r>
              <w:rPr>
                <w:rFonts w:cs="Arial"/>
                <w:sz w:val="20"/>
                <w:szCs w:val="20"/>
              </w:rPr>
              <w:t>,</w:t>
            </w:r>
            <w:r w:rsidRPr="009A2608">
              <w:rPr>
                <w:rFonts w:cs="Arial"/>
                <w:sz w:val="20"/>
                <w:szCs w:val="20"/>
              </w:rPr>
              <w:t>350</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154</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042</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Edad</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108</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038</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004</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Primaria o menos</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4</w:t>
            </w:r>
            <w:r>
              <w:rPr>
                <w:rFonts w:cs="Arial"/>
                <w:sz w:val="20"/>
                <w:szCs w:val="20"/>
              </w:rPr>
              <w:t>,</w:t>
            </w:r>
            <w:r w:rsidRPr="009A2608">
              <w:rPr>
                <w:rFonts w:cs="Arial"/>
                <w:sz w:val="20"/>
                <w:szCs w:val="20"/>
              </w:rPr>
              <w:t>650</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681</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006</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Secundaria</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922</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330</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149</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Metropolitana</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557</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367</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255</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Resto del país</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4</w:t>
            </w:r>
            <w:r>
              <w:rPr>
                <w:rFonts w:cs="Arial"/>
                <w:sz w:val="20"/>
                <w:szCs w:val="20"/>
              </w:rPr>
              <w:t>,</w:t>
            </w:r>
            <w:r w:rsidRPr="009A2608">
              <w:rPr>
                <w:rFonts w:cs="Arial"/>
                <w:sz w:val="20"/>
                <w:szCs w:val="20"/>
              </w:rPr>
              <w:t>095</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686</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015</w:t>
            </w:r>
          </w:p>
        </w:tc>
      </w:tr>
      <w:tr w:rsidR="004518A3" w:rsidRPr="009A2608" w:rsidTr="00C2394C">
        <w:trPr>
          <w:trHeight w:val="300"/>
        </w:trPr>
        <w:tc>
          <w:tcPr>
            <w:tcW w:w="1781" w:type="pct"/>
            <w:shd w:val="clear" w:color="auto" w:fill="auto"/>
            <w:noWrap/>
            <w:vAlign w:val="center"/>
            <w:hideMark/>
          </w:tcPr>
          <w:p w:rsidR="004518A3" w:rsidRPr="009A2608" w:rsidRDefault="004518A3" w:rsidP="00C2394C">
            <w:pPr>
              <w:spacing w:after="0" w:line="240" w:lineRule="auto"/>
              <w:jc w:val="left"/>
              <w:rPr>
                <w:rFonts w:cs="Arial"/>
                <w:sz w:val="20"/>
                <w:szCs w:val="20"/>
              </w:rPr>
            </w:pPr>
            <w:r w:rsidRPr="009A2608">
              <w:rPr>
                <w:rFonts w:cs="Arial"/>
                <w:sz w:val="20"/>
                <w:szCs w:val="20"/>
              </w:rPr>
              <w:t>Ingresos alcanzan</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3</w:t>
            </w:r>
            <w:r>
              <w:rPr>
                <w:rFonts w:cs="Arial"/>
                <w:sz w:val="20"/>
                <w:szCs w:val="20"/>
              </w:rPr>
              <w:t>,</w:t>
            </w:r>
            <w:r w:rsidRPr="009A2608">
              <w:rPr>
                <w:rFonts w:cs="Arial"/>
                <w:sz w:val="20"/>
                <w:szCs w:val="20"/>
              </w:rPr>
              <w:t>975</w:t>
            </w:r>
          </w:p>
        </w:tc>
        <w:tc>
          <w:tcPr>
            <w:tcW w:w="1044"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1</w:t>
            </w:r>
            <w:r>
              <w:rPr>
                <w:rFonts w:cs="Arial"/>
                <w:sz w:val="20"/>
                <w:szCs w:val="20"/>
              </w:rPr>
              <w:t>,</w:t>
            </w:r>
            <w:r w:rsidRPr="009A2608">
              <w:rPr>
                <w:rFonts w:cs="Arial"/>
                <w:sz w:val="20"/>
                <w:szCs w:val="20"/>
              </w:rPr>
              <w:t>188</w:t>
            </w:r>
          </w:p>
        </w:tc>
        <w:tc>
          <w:tcPr>
            <w:tcW w:w="1131" w:type="pct"/>
            <w:shd w:val="clear" w:color="auto" w:fill="auto"/>
            <w:noWrap/>
            <w:vAlign w:val="center"/>
            <w:hideMark/>
          </w:tcPr>
          <w:p w:rsidR="004518A3" w:rsidRPr="009A2608" w:rsidRDefault="004518A3" w:rsidP="00C2394C">
            <w:pPr>
              <w:spacing w:after="0" w:line="240" w:lineRule="auto"/>
              <w:jc w:val="center"/>
              <w:rPr>
                <w:rFonts w:cs="Arial"/>
                <w:sz w:val="20"/>
                <w:szCs w:val="20"/>
              </w:rPr>
            </w:pPr>
            <w:r w:rsidRPr="009A2608">
              <w:rPr>
                <w:rFonts w:cs="Arial"/>
                <w:sz w:val="20"/>
                <w:szCs w:val="20"/>
              </w:rPr>
              <w:t>0</w:t>
            </w:r>
            <w:r>
              <w:rPr>
                <w:rFonts w:cs="Arial"/>
                <w:sz w:val="20"/>
                <w:szCs w:val="20"/>
              </w:rPr>
              <w:t>,</w:t>
            </w:r>
            <w:r w:rsidRPr="009A2608">
              <w:rPr>
                <w:rFonts w:cs="Arial"/>
                <w:sz w:val="20"/>
                <w:szCs w:val="20"/>
              </w:rPr>
              <w:t>001</w:t>
            </w:r>
          </w:p>
        </w:tc>
      </w:tr>
    </w:tbl>
    <w:p w:rsidR="004518A3" w:rsidRPr="007923A1" w:rsidRDefault="004518A3" w:rsidP="007923A1">
      <w:pPr>
        <w:pStyle w:val="Prrafodelista"/>
        <w:ind w:hanging="720"/>
        <w:jc w:val="center"/>
        <w:rPr>
          <w:b/>
          <w:sz w:val="16"/>
          <w:szCs w:val="16"/>
        </w:rPr>
      </w:pPr>
      <w:r w:rsidRPr="007923A1">
        <w:rPr>
          <w:rFonts w:cs="Arial"/>
          <w:sz w:val="16"/>
          <w:szCs w:val="16"/>
        </w:rPr>
        <w:t>Fuente: Encuesta Percepción de la Red Vial del país LanammeUCR - CIEP. 2014</w:t>
      </w:r>
    </w:p>
    <w:p w:rsidR="004518A3" w:rsidRDefault="004518A3" w:rsidP="00C2394C">
      <w:pPr>
        <w:pStyle w:val="Sinespaciado"/>
      </w:pPr>
      <w:r w:rsidRPr="0075468B">
        <w:t xml:space="preserve">El modelo estimado por mínimos cuadrados ordinarios muestra que no existe una relación estadísticamente significativa entre el conocimiento sobre la red vial y la percepción sobre </w:t>
      </w:r>
      <w:r w:rsidRPr="0075468B">
        <w:lastRenderedPageBreak/>
        <w:t xml:space="preserve">su estado. Sí se observan variaciones significativas al 5% para algunos de los controles </w:t>
      </w:r>
      <w:proofErr w:type="spellStart"/>
      <w:r w:rsidRPr="0075468B">
        <w:t>sociodemográficos</w:t>
      </w:r>
      <w:proofErr w:type="spellEnd"/>
      <w:r w:rsidRPr="0075468B">
        <w:t>, en particular las mujeres muestran una menor valoración positiva de la infraestructura respecto a los hombres. Las personas con educación primaria o sin estudios tienden a valorar más positivamente la infraestructura respecto a quienes tienen educación universitaria o superior. Los habitantes del resto del país poseen un índice mayor en comparación con quienes viven en el resto del Valle Central (pero los de la región metropolitana no indican diferencias). Finalmente entre personas cuyos ingresos alcanzan en el hogar la valoración es mejor respecto a quienes no les alcanzan.</w:t>
      </w:r>
    </w:p>
    <w:p w:rsidR="007923A1" w:rsidRPr="0075468B" w:rsidRDefault="007923A1" w:rsidP="00C2394C">
      <w:pPr>
        <w:pStyle w:val="Sinespaciado"/>
      </w:pPr>
    </w:p>
    <w:p w:rsidR="004518A3" w:rsidRPr="007923A1" w:rsidRDefault="004518A3" w:rsidP="00C2394C">
      <w:pPr>
        <w:pStyle w:val="Sinespaciado"/>
        <w:rPr>
          <w:b/>
        </w:rPr>
      </w:pPr>
      <w:bookmarkStart w:id="9" w:name="_Toc419207117"/>
      <w:r w:rsidRPr="007923A1">
        <w:rPr>
          <w:b/>
        </w:rPr>
        <w:t>Principales problemas y expectativas</w:t>
      </w:r>
      <w:bookmarkEnd w:id="9"/>
    </w:p>
    <w:p w:rsidR="00C51711" w:rsidRDefault="004518A3" w:rsidP="00C2394C">
      <w:pPr>
        <w:pStyle w:val="Sinespaciado"/>
      </w:pPr>
      <w:r w:rsidRPr="0075468B">
        <w:t>El  principal problema que los entrevi</w:t>
      </w:r>
      <w:r>
        <w:t>stados expresan en cuanto a la Red Vial N</w:t>
      </w:r>
      <w:r w:rsidRPr="0075468B">
        <w:t>acional, es los huecos en las calles, seguido por las falta de señalización, carreteras en mal estado, parches, bacheos, entre otros.</w:t>
      </w:r>
      <w:r>
        <w:t xml:space="preserve"> En la siguiente tabla</w:t>
      </w:r>
      <w:r w:rsidR="008523AF">
        <w:fldChar w:fldCharType="begin"/>
      </w:r>
      <w:r>
        <w:instrText xml:space="preserve"> REF _Ref418687353 \h </w:instrText>
      </w:r>
      <w:r w:rsidR="00C2394C">
        <w:instrText xml:space="preserve"> \* MERGEFORMAT </w:instrText>
      </w:r>
      <w:r w:rsidR="008523AF">
        <w:fldChar w:fldCharType="end"/>
      </w:r>
      <w:r>
        <w:t xml:space="preserve"> se muestra las opiniones sobre la problemática de la red vial nacional, donde los entrevistados tenían la oportunidad de usar respuestas múltiples, para cada ítem analizado, se coloca que porcentaje del 100% de cada región considera que ese problema como el más relevante.  </w:t>
      </w:r>
    </w:p>
    <w:p w:rsidR="007923A1" w:rsidRPr="0075468B" w:rsidRDefault="007923A1" w:rsidP="00C2394C">
      <w:pPr>
        <w:pStyle w:val="Sinespaciado"/>
      </w:pPr>
    </w:p>
    <w:p w:rsidR="004518A3" w:rsidRPr="0075468B" w:rsidRDefault="004518A3" w:rsidP="004518A3">
      <w:pPr>
        <w:spacing w:after="0" w:line="240" w:lineRule="auto"/>
        <w:jc w:val="center"/>
      </w:pPr>
      <w:bookmarkStart w:id="10" w:name="_Toc419189992"/>
      <w:r w:rsidRPr="0075468B">
        <w:t>Opinión sobre la problemática de la red vial nacional por parte de los entrevistados</w:t>
      </w:r>
      <w:r>
        <w:t xml:space="preserve"> </w:t>
      </w:r>
      <w:r w:rsidRPr="0075468B">
        <w:t>según región de residencia</w:t>
      </w:r>
      <w:r>
        <w:t>, p</w:t>
      </w:r>
      <w:r w:rsidRPr="00767E59">
        <w:t xml:space="preserve">orcentaje </w:t>
      </w:r>
      <w:r>
        <w:t>dicotómico y no excluyente por región.</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81"/>
        <w:gridCol w:w="1323"/>
        <w:gridCol w:w="1323"/>
        <w:gridCol w:w="1323"/>
        <w:gridCol w:w="1111"/>
      </w:tblGrid>
      <w:tr w:rsidR="004518A3" w:rsidRPr="00697708" w:rsidTr="00C2394C">
        <w:trPr>
          <w:trHeight w:val="332"/>
          <w:jc w:val="center"/>
        </w:trPr>
        <w:tc>
          <w:tcPr>
            <w:tcW w:w="4181" w:type="dxa"/>
            <w:shd w:val="clear" w:color="auto" w:fill="BFBFBF" w:themeFill="background1" w:themeFillShade="BF"/>
            <w:noWrap/>
            <w:vAlign w:val="center"/>
            <w:hideMark/>
          </w:tcPr>
          <w:p w:rsidR="004518A3" w:rsidRPr="00697708" w:rsidRDefault="004518A3" w:rsidP="00C2394C">
            <w:pPr>
              <w:spacing w:after="0" w:line="240" w:lineRule="auto"/>
              <w:jc w:val="center"/>
              <w:rPr>
                <w:rFonts w:cs="Arial"/>
                <w:b/>
                <w:sz w:val="18"/>
                <w:szCs w:val="18"/>
              </w:rPr>
            </w:pPr>
            <w:r w:rsidRPr="00697708">
              <w:rPr>
                <w:rFonts w:cs="Arial"/>
                <w:b/>
                <w:sz w:val="18"/>
                <w:szCs w:val="18"/>
              </w:rPr>
              <w:t>Problemas de la red vial</w:t>
            </w:r>
            <w:r>
              <w:rPr>
                <w:rFonts w:cs="Arial"/>
                <w:b/>
                <w:sz w:val="18"/>
                <w:szCs w:val="18"/>
              </w:rPr>
              <w:t>*</w:t>
            </w:r>
          </w:p>
        </w:tc>
        <w:tc>
          <w:tcPr>
            <w:tcW w:w="1323" w:type="dxa"/>
            <w:shd w:val="clear" w:color="auto" w:fill="BFBFBF" w:themeFill="background1" w:themeFillShade="BF"/>
            <w:vAlign w:val="center"/>
            <w:hideMark/>
          </w:tcPr>
          <w:p w:rsidR="004518A3" w:rsidRPr="00697708" w:rsidRDefault="004518A3" w:rsidP="00C2394C">
            <w:pPr>
              <w:spacing w:after="0" w:line="240" w:lineRule="auto"/>
              <w:jc w:val="center"/>
              <w:rPr>
                <w:rFonts w:cs="Arial"/>
                <w:b/>
                <w:sz w:val="18"/>
                <w:szCs w:val="18"/>
              </w:rPr>
            </w:pPr>
            <w:r w:rsidRPr="00697708">
              <w:rPr>
                <w:rFonts w:cs="Arial"/>
                <w:b/>
                <w:sz w:val="18"/>
                <w:szCs w:val="18"/>
              </w:rPr>
              <w:t>Metropolitana</w:t>
            </w:r>
          </w:p>
        </w:tc>
        <w:tc>
          <w:tcPr>
            <w:tcW w:w="1323" w:type="dxa"/>
            <w:shd w:val="clear" w:color="auto" w:fill="BFBFBF" w:themeFill="background1" w:themeFillShade="BF"/>
            <w:vAlign w:val="center"/>
            <w:hideMark/>
          </w:tcPr>
          <w:p w:rsidR="004518A3" w:rsidRPr="00697708" w:rsidRDefault="004518A3" w:rsidP="00C2394C">
            <w:pPr>
              <w:spacing w:after="0" w:line="240" w:lineRule="auto"/>
              <w:jc w:val="center"/>
              <w:rPr>
                <w:rFonts w:cs="Arial"/>
                <w:b/>
                <w:sz w:val="18"/>
                <w:szCs w:val="18"/>
              </w:rPr>
            </w:pPr>
            <w:r w:rsidRPr="00697708">
              <w:rPr>
                <w:rFonts w:cs="Arial"/>
                <w:b/>
                <w:sz w:val="18"/>
                <w:szCs w:val="18"/>
              </w:rPr>
              <w:t>Resto del Valle Central</w:t>
            </w:r>
          </w:p>
        </w:tc>
        <w:tc>
          <w:tcPr>
            <w:tcW w:w="1323" w:type="dxa"/>
            <w:shd w:val="clear" w:color="auto" w:fill="BFBFBF" w:themeFill="background1" w:themeFillShade="BF"/>
            <w:vAlign w:val="center"/>
            <w:hideMark/>
          </w:tcPr>
          <w:p w:rsidR="004518A3" w:rsidRPr="00697708" w:rsidRDefault="004518A3" w:rsidP="00C2394C">
            <w:pPr>
              <w:spacing w:after="0" w:line="240" w:lineRule="auto"/>
              <w:jc w:val="center"/>
              <w:rPr>
                <w:rFonts w:cs="Arial"/>
                <w:b/>
                <w:sz w:val="18"/>
                <w:szCs w:val="18"/>
              </w:rPr>
            </w:pPr>
            <w:r w:rsidRPr="00697708">
              <w:rPr>
                <w:rFonts w:cs="Arial"/>
                <w:b/>
                <w:sz w:val="18"/>
                <w:szCs w:val="18"/>
              </w:rPr>
              <w:t>Resto del país</w:t>
            </w:r>
          </w:p>
        </w:tc>
        <w:tc>
          <w:tcPr>
            <w:tcW w:w="1111" w:type="dxa"/>
            <w:shd w:val="clear" w:color="auto" w:fill="BFBFBF" w:themeFill="background1" w:themeFillShade="BF"/>
            <w:vAlign w:val="center"/>
            <w:hideMark/>
          </w:tcPr>
          <w:p w:rsidR="004518A3" w:rsidRPr="00697708" w:rsidRDefault="004518A3" w:rsidP="00C2394C">
            <w:pPr>
              <w:spacing w:after="0" w:line="240" w:lineRule="auto"/>
              <w:jc w:val="center"/>
              <w:rPr>
                <w:rFonts w:cs="Arial"/>
                <w:b/>
                <w:sz w:val="18"/>
                <w:szCs w:val="18"/>
              </w:rPr>
            </w:pPr>
            <w:r w:rsidRPr="003B1CFC">
              <w:rPr>
                <w:rFonts w:cs="Arial"/>
                <w:b/>
                <w:sz w:val="18"/>
                <w:szCs w:val="20"/>
                <w:lang w:eastAsia="es-CR"/>
              </w:rPr>
              <w:t>Todas las regiones</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Huecos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50,4</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53,9</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46,8</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50,5</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Señalización</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33,8</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26,8</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28,6</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30,9</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Carreteras en mal estado, parches, bacheos, etc</w:t>
            </w:r>
            <w:r>
              <w:rPr>
                <w:rFonts w:cs="Arial"/>
                <w:i/>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28,3</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26,1</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27,0</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27,5</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Mucho tránsito, congestionamiento</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24,5</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16,7</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13,9</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20,3</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Falta mantenimiento</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17,2</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15,7</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15,5</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16,5</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Demarcación</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17,7</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14,1</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16,3</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16,5</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Calles angostas, estrechas, pocos carriles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16,0</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15,0</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10,7</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14,7</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Falta de aceras, espaldones, puentes peatonales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14,2</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16,7</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11,1</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14,2</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Puentes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10,8</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12,7</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17,5</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12,7</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Otras razones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12,9</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8,5</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12,3</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11,7</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Falta de planificación, administración</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10,8</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7,5</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6,7</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9,1</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Alcantarillado</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8,1</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8,8</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4,8</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7,6</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No responde</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3,7</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5,9</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12,3</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6,0</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Problemas naturales, derrumbes, topografía, inundaciones, hundimientos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5,6</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5,6</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4,8</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5,4</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Iluminación, poca iluminación</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2,9</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4,9</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3,6</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3,5</w:t>
            </w:r>
            <w:r>
              <w:rPr>
                <w:rFonts w:cs="Arial"/>
                <w:sz w:val="18"/>
                <w:szCs w:val="18"/>
              </w:rPr>
              <w:t>%</w:t>
            </w:r>
          </w:p>
        </w:tc>
      </w:tr>
      <w:tr w:rsidR="004518A3" w:rsidRPr="00697708" w:rsidTr="00C2394C">
        <w:trPr>
          <w:trHeight w:val="300"/>
          <w:jc w:val="center"/>
        </w:trPr>
        <w:tc>
          <w:tcPr>
            <w:tcW w:w="4181" w:type="dxa"/>
            <w:shd w:val="clear" w:color="auto" w:fill="auto"/>
            <w:noWrap/>
            <w:vAlign w:val="bottom"/>
            <w:hideMark/>
          </w:tcPr>
          <w:p w:rsidR="004518A3" w:rsidRPr="00697708" w:rsidRDefault="004518A3" w:rsidP="00C2394C">
            <w:pPr>
              <w:spacing w:after="0" w:line="240" w:lineRule="exact"/>
              <w:rPr>
                <w:rFonts w:cs="Arial"/>
                <w:i/>
                <w:sz w:val="18"/>
                <w:szCs w:val="18"/>
              </w:rPr>
            </w:pPr>
            <w:r w:rsidRPr="00697708">
              <w:rPr>
                <w:rFonts w:cs="Arial"/>
                <w:i/>
                <w:sz w:val="18"/>
                <w:szCs w:val="18"/>
              </w:rPr>
              <w:t>Semáforos</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5,2</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w:t>
            </w:r>
            <w:r>
              <w:rPr>
                <w:rFonts w:cs="Arial"/>
                <w:sz w:val="18"/>
                <w:szCs w:val="18"/>
              </w:rPr>
              <w:t>%</w:t>
            </w:r>
          </w:p>
        </w:tc>
        <w:tc>
          <w:tcPr>
            <w:tcW w:w="1323"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1,6</w:t>
            </w:r>
            <w:r>
              <w:rPr>
                <w:rFonts w:cs="Arial"/>
                <w:sz w:val="18"/>
                <w:szCs w:val="18"/>
              </w:rPr>
              <w:t>%</w:t>
            </w:r>
          </w:p>
        </w:tc>
        <w:tc>
          <w:tcPr>
            <w:tcW w:w="1111" w:type="dxa"/>
            <w:shd w:val="clear" w:color="auto" w:fill="auto"/>
            <w:noWrap/>
            <w:vAlign w:val="center"/>
            <w:hideMark/>
          </w:tcPr>
          <w:p w:rsidR="004518A3" w:rsidRPr="00697708" w:rsidRDefault="004518A3" w:rsidP="00C2394C">
            <w:pPr>
              <w:spacing w:after="0" w:line="240" w:lineRule="exact"/>
              <w:jc w:val="center"/>
              <w:rPr>
                <w:rFonts w:cs="Arial"/>
                <w:sz w:val="18"/>
                <w:szCs w:val="18"/>
              </w:rPr>
            </w:pPr>
            <w:r w:rsidRPr="00697708">
              <w:rPr>
                <w:rFonts w:cs="Arial"/>
                <w:sz w:val="18"/>
                <w:szCs w:val="18"/>
              </w:rPr>
              <w:t>3,5</w:t>
            </w:r>
            <w:r>
              <w:rPr>
                <w:rFonts w:cs="Arial"/>
                <w:sz w:val="18"/>
                <w:szCs w:val="18"/>
              </w:rPr>
              <w:t>%</w:t>
            </w:r>
          </w:p>
        </w:tc>
      </w:tr>
    </w:tbl>
    <w:p w:rsidR="004518A3" w:rsidRPr="00C51711" w:rsidRDefault="004518A3" w:rsidP="00C51711">
      <w:pPr>
        <w:pStyle w:val="Prrafodelista"/>
        <w:ind w:hanging="720"/>
        <w:jc w:val="center"/>
        <w:rPr>
          <w:sz w:val="16"/>
          <w:szCs w:val="16"/>
        </w:rPr>
      </w:pPr>
      <w:r w:rsidRPr="00C51711">
        <w:rPr>
          <w:rFonts w:cs="Arial"/>
          <w:sz w:val="16"/>
          <w:szCs w:val="16"/>
        </w:rPr>
        <w:t>Fuente: Encuesta Percepción de la Red Vial del país LanammeUCR - CIEP. 2014</w:t>
      </w:r>
    </w:p>
    <w:p w:rsidR="004518A3" w:rsidRDefault="004518A3" w:rsidP="00C2394C">
      <w:pPr>
        <w:pStyle w:val="Sinespaciado"/>
      </w:pPr>
      <w:r>
        <w:t>Se puede observar como el 50,4% de los habitantes del área metropolitana coincide en que los huecos son el principal problema de la red vial, de la muestra de entrevistados del resto del valle central 53,9% coincide con el problema de los huecos y de los entrevistados del resto del país solamente un 46,8% considera los huecos como el principal problema, al generar el mismo estadístico para la combinación de todas las entrevistas, el porcentaje es de 50,5%. Como el análisis es de opción múltiple, cada problema posee un porcentaje independiente, que contabiliza su selección u omisión por parte de los entrevistados.</w:t>
      </w:r>
    </w:p>
    <w:p w:rsidR="00C51711" w:rsidRDefault="00C51711" w:rsidP="00C2394C">
      <w:pPr>
        <w:pStyle w:val="Sinespaciado"/>
      </w:pPr>
    </w:p>
    <w:p w:rsidR="004518A3" w:rsidRDefault="004518A3" w:rsidP="00C2394C">
      <w:pPr>
        <w:pStyle w:val="Sinespaciado"/>
      </w:pPr>
      <w:r>
        <w:t xml:space="preserve">Dentro del apartado de expectativas y ante la consulta </w:t>
      </w:r>
      <w:r w:rsidRPr="00C83349">
        <w:rPr>
          <w:i/>
        </w:rPr>
        <w:t>“En el mantenimiento y construcción de obras públicas en el país, ¿cree usted que debe invertir más el Estado, la empresa privada?”</w:t>
      </w:r>
      <w:r>
        <w:t xml:space="preserve">, los entrevistados expresan una expectativa de cual actor debe realizar </w:t>
      </w:r>
      <w:r>
        <w:lastRenderedPageBreak/>
        <w:t>la inversión requerida para llevar a cabo el mantenimiento y construcción de las obras públicas del país, los resultados de esta consulta se detallan en la</w:t>
      </w:r>
      <w:r w:rsidR="00F22124">
        <w:t xml:space="preserve"> siguiente figura</w:t>
      </w:r>
      <w:r>
        <w:t>.</w:t>
      </w:r>
    </w:p>
    <w:p w:rsidR="00F22124" w:rsidRDefault="00F22124" w:rsidP="00C2394C">
      <w:pPr>
        <w:pStyle w:val="Sinespaciado"/>
      </w:pPr>
    </w:p>
    <w:p w:rsidR="00F22124" w:rsidRPr="00C83349" w:rsidRDefault="00F22124" w:rsidP="00C2394C">
      <w:pPr>
        <w:pStyle w:val="Sinespaciado"/>
      </w:pPr>
    </w:p>
    <w:tbl>
      <w:tblPr>
        <w:tblStyle w:val="Tablaconcuadrcula"/>
        <w:tblW w:w="0" w:type="auto"/>
        <w:tblLook w:val="04A0"/>
      </w:tblPr>
      <w:tblGrid>
        <w:gridCol w:w="9054"/>
      </w:tblGrid>
      <w:tr w:rsidR="004518A3" w:rsidRPr="00681A39" w:rsidTr="00C2394C">
        <w:tc>
          <w:tcPr>
            <w:tcW w:w="9261" w:type="dxa"/>
          </w:tcPr>
          <w:p w:rsidR="004518A3" w:rsidRPr="00681A39" w:rsidRDefault="004518A3" w:rsidP="00C2394C">
            <w:pPr>
              <w:jc w:val="center"/>
              <w:rPr>
                <w:lang w:val="es-CR"/>
              </w:rPr>
            </w:pPr>
            <w:r w:rsidRPr="00681A39">
              <w:rPr>
                <w:lang w:val="es-CR"/>
              </w:rPr>
              <w:t xml:space="preserve">“En el mantenimiento y construcción de obras públicas en el país, </w:t>
            </w:r>
          </w:p>
          <w:p w:rsidR="004518A3" w:rsidRPr="00681A39" w:rsidRDefault="004518A3" w:rsidP="00C2394C">
            <w:pPr>
              <w:jc w:val="center"/>
              <w:rPr>
                <w:lang w:val="es-CR"/>
              </w:rPr>
            </w:pPr>
            <w:r w:rsidRPr="00681A39">
              <w:rPr>
                <w:lang w:val="es-CR"/>
              </w:rPr>
              <w:t>¿cree usted que debe invertir más el Estado, la empresa privada?”</w:t>
            </w:r>
          </w:p>
          <w:p w:rsidR="004518A3" w:rsidRPr="00681A39" w:rsidRDefault="004518A3" w:rsidP="00C2394C">
            <w:pPr>
              <w:jc w:val="center"/>
              <w:rPr>
                <w:lang w:val="es-CR"/>
              </w:rPr>
            </w:pPr>
            <w:r w:rsidRPr="00681A39">
              <w:rPr>
                <w:noProof/>
              </w:rPr>
              <w:drawing>
                <wp:inline distT="0" distB="0" distL="0" distR="0">
                  <wp:extent cx="5359180" cy="2369489"/>
                  <wp:effectExtent l="0" t="0" r="0" b="0"/>
                  <wp:docPr id="5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18A3" w:rsidRPr="00F22124" w:rsidRDefault="004518A3" w:rsidP="00F22124">
            <w:pPr>
              <w:jc w:val="center"/>
              <w:rPr>
                <w:sz w:val="16"/>
                <w:szCs w:val="16"/>
                <w:lang w:val="es-CR"/>
              </w:rPr>
            </w:pPr>
            <w:r w:rsidRPr="00F22124">
              <w:rPr>
                <w:rFonts w:cs="Arial"/>
                <w:sz w:val="16"/>
                <w:szCs w:val="16"/>
                <w:lang w:val="es-CR"/>
              </w:rPr>
              <w:t>Fuente: Encuesta Percepción de la Red Vial del país LanammeUCR - CIEP. 2014</w:t>
            </w:r>
          </w:p>
        </w:tc>
      </w:tr>
    </w:tbl>
    <w:p w:rsidR="004518A3" w:rsidRDefault="004518A3" w:rsidP="00C2394C">
      <w:pPr>
        <w:pStyle w:val="Sinespaciado"/>
      </w:pPr>
      <w:bookmarkStart w:id="11" w:name="_Toc419189949"/>
      <w:r>
        <w:t>Expectativa sobre inversión en obra pública para todas las regiones</w:t>
      </w:r>
      <w:bookmarkEnd w:id="11"/>
    </w:p>
    <w:p w:rsidR="00F22124" w:rsidRPr="0075468B" w:rsidRDefault="00F22124" w:rsidP="00C2394C">
      <w:pPr>
        <w:pStyle w:val="Sinespaciado"/>
      </w:pPr>
    </w:p>
    <w:p w:rsidR="004518A3" w:rsidRPr="0075468B" w:rsidRDefault="004518A3" w:rsidP="00C2394C">
      <w:pPr>
        <w:pStyle w:val="Sinespaciado"/>
      </w:pPr>
      <w:r>
        <w:t>De la figura anterior se observa que, c</w:t>
      </w:r>
      <w:r w:rsidRPr="0075468B">
        <w:t>erca de</w:t>
      </w:r>
      <w:r>
        <w:t>l</w:t>
      </w:r>
      <w:r w:rsidRPr="0075468B">
        <w:t xml:space="preserve"> 55% de los entrevistados expresan que el Estado es quien debe intervenir mas en el mantenimiento y construcción de las obras públicas del país</w:t>
      </w:r>
      <w:r>
        <w:t>.</w:t>
      </w:r>
      <w:r w:rsidRPr="0075468B">
        <w:t xml:space="preserve"> </w:t>
      </w:r>
      <w:r>
        <w:t xml:space="preserve">Cualquier subdivisión de este resultado arroja </w:t>
      </w:r>
      <w:r w:rsidRPr="0075468B">
        <w:t>porcentaje</w:t>
      </w:r>
      <w:r>
        <w:t>s</w:t>
      </w:r>
      <w:r w:rsidRPr="0075468B">
        <w:t xml:space="preserve"> superior</w:t>
      </w:r>
      <w:r>
        <w:t>es</w:t>
      </w:r>
      <w:r w:rsidRPr="0075468B">
        <w:t xml:space="preserve"> al 50%</w:t>
      </w:r>
      <w:r>
        <w:t xml:space="preserve"> indistinto de la </w:t>
      </w:r>
      <w:r w:rsidRPr="0075468B">
        <w:t>regi</w:t>
      </w:r>
      <w:r>
        <w:t>ó</w:t>
      </w:r>
      <w:r w:rsidRPr="0075468B">
        <w:t>n.</w:t>
      </w:r>
    </w:p>
    <w:p w:rsidR="004518A3" w:rsidRPr="0075468B" w:rsidRDefault="004518A3" w:rsidP="004518A3"/>
    <w:p w:rsidR="00C2394C" w:rsidRDefault="00C2394C"/>
    <w:sectPr w:rsidR="00C2394C" w:rsidSect="00D1095F">
      <w:pgSz w:w="12240" w:h="15840"/>
      <w:pgMar w:top="709"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59C"/>
    <w:multiLevelType w:val="multilevel"/>
    <w:tmpl w:val="821499A2"/>
    <w:lvl w:ilvl="0">
      <w:start w:val="1"/>
      <w:numFmt w:val="decimal"/>
      <w:pStyle w:val="Ttulo1"/>
      <w:lvlText w:val="CAPITULO %1"/>
      <w:lvlJc w:val="center"/>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Ttulo2"/>
      <w:lvlText w:val="%1.%2"/>
      <w:lvlJc w:val="left"/>
      <w:pPr>
        <w:ind w:left="576" w:hanging="576"/>
      </w:pPr>
      <w:rPr>
        <w:rFonts w:cs="Times New Roman" w:hint="default"/>
        <w:b/>
        <w:bCs w:val="0"/>
        <w:i w:val="0"/>
        <w:iCs w:val="0"/>
        <w:smallCaps w:val="0"/>
        <w:strike w:val="0"/>
        <w:dstrike w:val="0"/>
        <w:outline w:val="0"/>
        <w:shadow w:val="0"/>
        <w:emboss w:val="0"/>
        <w:imprint w:val="0"/>
        <w:vanish w:val="0"/>
        <w:spacing w:val="0"/>
        <w:kern w:val="0"/>
        <w:position w:val="0"/>
        <w:sz w:val="22"/>
        <w:szCs w:val="22"/>
        <w:u w:val="none"/>
        <w:vertAlign w:val="baseline"/>
      </w:rPr>
    </w:lvl>
    <w:lvl w:ilvl="2">
      <w:start w:val="1"/>
      <w:numFmt w:val="decimal"/>
      <w:pStyle w:val="Ttulo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518A3"/>
    <w:rsid w:val="002E6BB7"/>
    <w:rsid w:val="00323BD7"/>
    <w:rsid w:val="004518A3"/>
    <w:rsid w:val="004D795A"/>
    <w:rsid w:val="007923A1"/>
    <w:rsid w:val="00850337"/>
    <w:rsid w:val="008523AF"/>
    <w:rsid w:val="00AD1494"/>
    <w:rsid w:val="00BF0536"/>
    <w:rsid w:val="00C2394C"/>
    <w:rsid w:val="00C51711"/>
    <w:rsid w:val="00D1095F"/>
    <w:rsid w:val="00DB07D9"/>
    <w:rsid w:val="00F22124"/>
    <w:rsid w:val="00F60AB1"/>
    <w:rsid w:val="00F9146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A3"/>
    <w:pPr>
      <w:spacing w:line="360" w:lineRule="auto"/>
      <w:jc w:val="both"/>
    </w:pPr>
    <w:rPr>
      <w:rFonts w:ascii="Arial" w:eastAsia="Calibri" w:hAnsi="Arial" w:cs="Times New Roman"/>
    </w:rPr>
  </w:style>
  <w:style w:type="paragraph" w:styleId="Ttulo1">
    <w:name w:val="heading 1"/>
    <w:basedOn w:val="Prrafodelista"/>
    <w:next w:val="Normal"/>
    <w:link w:val="Ttulo1Car"/>
    <w:autoRedefine/>
    <w:uiPriority w:val="99"/>
    <w:qFormat/>
    <w:rsid w:val="004518A3"/>
    <w:pPr>
      <w:numPr>
        <w:numId w:val="1"/>
      </w:numPr>
      <w:ind w:left="1276"/>
      <w:jc w:val="center"/>
      <w:outlineLvl w:val="0"/>
    </w:pPr>
    <w:rPr>
      <w:b/>
      <w:sz w:val="40"/>
      <w:szCs w:val="40"/>
      <w:lang w:val="es-ES" w:eastAsia="es-ES"/>
    </w:rPr>
  </w:style>
  <w:style w:type="paragraph" w:styleId="Ttulo2">
    <w:name w:val="heading 2"/>
    <w:basedOn w:val="Normal"/>
    <w:next w:val="Normal"/>
    <w:link w:val="Ttulo2Car"/>
    <w:autoRedefine/>
    <w:uiPriority w:val="9"/>
    <w:qFormat/>
    <w:rsid w:val="004518A3"/>
    <w:pPr>
      <w:keepNext/>
      <w:numPr>
        <w:ilvl w:val="1"/>
        <w:numId w:val="1"/>
      </w:numPr>
      <w:spacing w:before="240" w:after="60"/>
      <w:jc w:val="left"/>
      <w:outlineLvl w:val="1"/>
    </w:pPr>
    <w:rPr>
      <w:rFonts w:cs="Arial"/>
      <w:b/>
      <w:bCs/>
      <w:iCs/>
      <w:caps/>
      <w:szCs w:val="28"/>
      <w:lang w:eastAsia="es-ES"/>
    </w:rPr>
  </w:style>
  <w:style w:type="paragraph" w:styleId="Ttulo3">
    <w:name w:val="heading 3"/>
    <w:basedOn w:val="Normal"/>
    <w:next w:val="Normal"/>
    <w:link w:val="Ttulo3Car"/>
    <w:uiPriority w:val="99"/>
    <w:qFormat/>
    <w:rsid w:val="004518A3"/>
    <w:pPr>
      <w:keepNext/>
      <w:keepLines/>
      <w:numPr>
        <w:ilvl w:val="2"/>
        <w:numId w:val="1"/>
      </w:numPr>
      <w:spacing w:before="200" w:after="0"/>
      <w:outlineLvl w:val="2"/>
    </w:pPr>
    <w:rPr>
      <w:rFonts w:eastAsia="Times New Roman" w:cs="Arial"/>
      <w:b/>
      <w:bCs/>
      <w:i/>
    </w:rPr>
  </w:style>
  <w:style w:type="paragraph" w:styleId="Ttulo5">
    <w:name w:val="heading 5"/>
    <w:basedOn w:val="Normal"/>
    <w:next w:val="Normal"/>
    <w:link w:val="Ttulo5Car"/>
    <w:uiPriority w:val="99"/>
    <w:qFormat/>
    <w:rsid w:val="004518A3"/>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4518A3"/>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4518A3"/>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4518A3"/>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4518A3"/>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518A3"/>
    <w:rPr>
      <w:rFonts w:ascii="Arial" w:eastAsia="Calibri" w:hAnsi="Arial" w:cs="Times New Roman"/>
      <w:b/>
      <w:sz w:val="40"/>
      <w:szCs w:val="40"/>
      <w:lang w:val="es-ES" w:eastAsia="es-ES"/>
    </w:rPr>
  </w:style>
  <w:style w:type="character" w:customStyle="1" w:styleId="Ttulo2Car">
    <w:name w:val="Título 2 Car"/>
    <w:basedOn w:val="Fuentedeprrafopredeter"/>
    <w:link w:val="Ttulo2"/>
    <w:uiPriority w:val="9"/>
    <w:rsid w:val="004518A3"/>
    <w:rPr>
      <w:rFonts w:ascii="Arial" w:eastAsia="Calibri" w:hAnsi="Arial" w:cs="Arial"/>
      <w:b/>
      <w:bCs/>
      <w:iCs/>
      <w:caps/>
      <w:szCs w:val="28"/>
      <w:lang w:eastAsia="es-ES"/>
    </w:rPr>
  </w:style>
  <w:style w:type="character" w:customStyle="1" w:styleId="Ttulo3Car">
    <w:name w:val="Título 3 Car"/>
    <w:basedOn w:val="Fuentedeprrafopredeter"/>
    <w:link w:val="Ttulo3"/>
    <w:uiPriority w:val="99"/>
    <w:rsid w:val="004518A3"/>
    <w:rPr>
      <w:rFonts w:ascii="Arial" w:eastAsia="Times New Roman" w:hAnsi="Arial" w:cs="Arial"/>
      <w:b/>
      <w:bCs/>
      <w:i/>
    </w:rPr>
  </w:style>
  <w:style w:type="character" w:customStyle="1" w:styleId="Ttulo5Car">
    <w:name w:val="Título 5 Car"/>
    <w:basedOn w:val="Fuentedeprrafopredeter"/>
    <w:link w:val="Ttulo5"/>
    <w:uiPriority w:val="99"/>
    <w:rsid w:val="004518A3"/>
    <w:rPr>
      <w:rFonts w:ascii="Cambria" w:eastAsia="Times New Roman" w:hAnsi="Cambria" w:cs="Times New Roman"/>
      <w:color w:val="243F60"/>
    </w:rPr>
  </w:style>
  <w:style w:type="character" w:customStyle="1" w:styleId="Ttulo6Car">
    <w:name w:val="Título 6 Car"/>
    <w:basedOn w:val="Fuentedeprrafopredeter"/>
    <w:link w:val="Ttulo6"/>
    <w:uiPriority w:val="99"/>
    <w:rsid w:val="004518A3"/>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4518A3"/>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4518A3"/>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4518A3"/>
    <w:rPr>
      <w:rFonts w:ascii="Cambria" w:eastAsia="Times New Roman" w:hAnsi="Cambria" w:cs="Times New Roman"/>
      <w:i/>
      <w:iCs/>
      <w:color w:val="404040"/>
      <w:sz w:val="20"/>
      <w:szCs w:val="20"/>
    </w:rPr>
  </w:style>
  <w:style w:type="table" w:styleId="Tablaconcuadrcula">
    <w:name w:val="Table Grid"/>
    <w:basedOn w:val="Tablanormal"/>
    <w:uiPriority w:val="59"/>
    <w:rsid w:val="004518A3"/>
    <w:pPr>
      <w:spacing w:after="0" w:line="240" w:lineRule="auto"/>
    </w:pPr>
    <w:rPr>
      <w:rFonts w:ascii="Times New Roman" w:eastAsia="Times New Roman" w:hAnsi="Times New Roman" w:cs="Times New Roman"/>
      <w:sz w:val="20"/>
      <w:szCs w:val="20"/>
      <w:lang w:val="en-US"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18A3"/>
    <w:pPr>
      <w:ind w:left="720"/>
      <w:contextualSpacing/>
    </w:pPr>
  </w:style>
  <w:style w:type="paragraph" w:styleId="Textodeglobo">
    <w:name w:val="Balloon Text"/>
    <w:basedOn w:val="Normal"/>
    <w:link w:val="TextodegloboCar"/>
    <w:uiPriority w:val="99"/>
    <w:semiHidden/>
    <w:unhideWhenUsed/>
    <w:rsid w:val="004518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8A3"/>
    <w:rPr>
      <w:rFonts w:ascii="Tahoma" w:eastAsia="Calibri" w:hAnsi="Tahoma" w:cs="Tahoma"/>
      <w:sz w:val="16"/>
      <w:szCs w:val="16"/>
    </w:rPr>
  </w:style>
  <w:style w:type="paragraph" w:styleId="Sinespaciado">
    <w:name w:val="No Spacing"/>
    <w:uiPriority w:val="1"/>
    <w:qFormat/>
    <w:rsid w:val="00DB07D9"/>
    <w:pPr>
      <w:spacing w:after="0" w:line="240" w:lineRule="auto"/>
      <w:jc w:val="both"/>
    </w:pPr>
    <w:rPr>
      <w:rFonts w:ascii="Arial" w:eastAsia="Calibri"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5" Type="http://schemas.openxmlformats.org/officeDocument/2006/relationships/chart" Target="charts/chart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ri&#225;n\Dropbox\Estudios%20de%20Opini&#243;n%20CIEP-UCR\Encuesta%20Lanamme\Gr&#225;ficos%20Lanamm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ri&#225;n\Dropbox\Estudios%20de%20Opini&#243;n%20CIEP-UCR\Encuesta%20Lanamme\Gr&#225;ficos%20Lanamm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ri&#225;n\Dropbox\Estudios%20de%20Opini&#243;n%20CIEP-UCR\Encuesta%20Lanamme\Gr&#225;ficos%20Lanam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chart>
    <c:plotArea>
      <c:layout/>
      <c:barChart>
        <c:barDir val="col"/>
        <c:grouping val="stacked"/>
        <c:ser>
          <c:idx val="0"/>
          <c:order val="0"/>
          <c:cat>
            <c:strRef>
              <c:f>Hoja8!$A$11:$A$13</c:f>
              <c:strCache>
                <c:ptCount val="3"/>
                <c:pt idx="0">
                  <c:v>Aceras (n=1199)</c:v>
                </c:pt>
                <c:pt idx="1">
                  <c:v>Calles y carreteras (n=1209)</c:v>
                </c:pt>
                <c:pt idx="2">
                  <c:v>Puentes (n=1197)</c:v>
                </c:pt>
              </c:strCache>
            </c:strRef>
          </c:cat>
          <c:val>
            <c:numRef>
              <c:f>Hoja8!$B$11:$B$13</c:f>
              <c:numCache>
                <c:formatCode>General</c:formatCode>
                <c:ptCount val="3"/>
                <c:pt idx="0">
                  <c:v>24.874771792545381</c:v>
                </c:pt>
                <c:pt idx="1">
                  <c:v>25.112277139307636</c:v>
                </c:pt>
                <c:pt idx="2">
                  <c:v>28.712003354612953</c:v>
                </c:pt>
              </c:numCache>
            </c:numRef>
          </c:val>
        </c:ser>
        <c:ser>
          <c:idx val="1"/>
          <c:order val="1"/>
          <c:spPr>
            <a:solidFill>
              <a:schemeClr val="bg1">
                <a:lumMod val="65000"/>
              </a:schemeClr>
            </a:solidFill>
          </c:spPr>
          <c:cat>
            <c:strRef>
              <c:f>Hoja8!$A$11:$A$13</c:f>
              <c:strCache>
                <c:ptCount val="3"/>
                <c:pt idx="0">
                  <c:v>Aceras (n=1199)</c:v>
                </c:pt>
                <c:pt idx="1">
                  <c:v>Calles y carreteras (n=1209)</c:v>
                </c:pt>
                <c:pt idx="2">
                  <c:v>Puentes (n=1197)</c:v>
                </c:pt>
              </c:strCache>
            </c:strRef>
          </c:cat>
          <c:val>
            <c:numRef>
              <c:f>Hoja8!$C$11:$C$13</c:f>
              <c:numCache>
                <c:formatCode>General</c:formatCode>
                <c:ptCount val="3"/>
                <c:pt idx="0">
                  <c:v>2.919256414909198</c:v>
                </c:pt>
                <c:pt idx="1">
                  <c:v>2.918445721384705</c:v>
                </c:pt>
                <c:pt idx="2">
                  <c:v>2.7681932907741205</c:v>
                </c:pt>
              </c:numCache>
            </c:numRef>
          </c:val>
        </c:ser>
        <c:gapWidth val="70"/>
        <c:overlap val="100"/>
        <c:axId val="83351424"/>
        <c:axId val="83431424"/>
      </c:barChart>
      <c:catAx>
        <c:axId val="83351424"/>
        <c:scaling>
          <c:orientation val="minMax"/>
        </c:scaling>
        <c:axPos val="b"/>
        <c:majorGridlines/>
        <c:tickLblPos val="nextTo"/>
        <c:crossAx val="83431424"/>
        <c:crosses val="autoZero"/>
        <c:auto val="1"/>
        <c:lblAlgn val="ctr"/>
        <c:lblOffset val="100"/>
      </c:catAx>
      <c:valAx>
        <c:axId val="83431424"/>
        <c:scaling>
          <c:orientation val="minMax"/>
          <c:max val="100"/>
        </c:scaling>
        <c:axPos val="l"/>
        <c:majorGridlines/>
        <c:title>
          <c:tx>
            <c:rich>
              <a:bodyPr rot="-5400000" vert="horz"/>
              <a:lstStyle/>
              <a:p>
                <a:pPr>
                  <a:defRPr/>
                </a:pPr>
                <a:r>
                  <a:rPr lang="es-CR"/>
                  <a:t>Nota</a:t>
                </a:r>
              </a:p>
            </c:rich>
          </c:tx>
        </c:title>
        <c:numFmt formatCode="General" sourceLinked="1"/>
        <c:tickLblPos val="nextTo"/>
        <c:crossAx val="83351424"/>
        <c:crosses val="autoZero"/>
        <c:crossBetween val="between"/>
      </c:valAx>
    </c:plotArea>
    <c:plotVisOnly val="1"/>
  </c:chart>
  <c:spPr>
    <a:ln>
      <a:noFill/>
    </a:ln>
  </c:spPr>
  <c:txPr>
    <a:bodyPr/>
    <a:lstStyle/>
    <a:p>
      <a:pPr>
        <a:defRPr>
          <a:latin typeface="Arial" pitchFamily="34" charset="0"/>
          <a:cs typeface="Arial" pitchFamily="34" charset="0"/>
        </a:defRPr>
      </a:pPr>
      <a:endParaRPr lang="es-C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R"/>
  <c:chart>
    <c:plotArea>
      <c:layout/>
      <c:barChart>
        <c:barDir val="col"/>
        <c:grouping val="stacked"/>
        <c:ser>
          <c:idx val="0"/>
          <c:order val="0"/>
          <c:cat>
            <c:strRef>
              <c:f>Hoja8!$A$39:$A$43</c:f>
              <c:strCache>
                <c:ptCount val="5"/>
                <c:pt idx="0">
                  <c:v>carretera a Limón (n=785)</c:v>
                </c:pt>
                <c:pt idx="1">
                  <c:v>carretera San José-frontera sur (n=650)</c:v>
                </c:pt>
                <c:pt idx="2">
                  <c:v>carretera San José-frontera norte (n=721)</c:v>
                </c:pt>
                <c:pt idx="3">
                  <c:v>carretera Costanera (n=744)</c:v>
                </c:pt>
                <c:pt idx="4">
                  <c:v>carretera a Caldera (n=988)</c:v>
                </c:pt>
              </c:strCache>
            </c:strRef>
          </c:cat>
          <c:val>
            <c:numRef>
              <c:f>Hoja8!$B$39:$B$43</c:f>
              <c:numCache>
                <c:formatCode>General</c:formatCode>
                <c:ptCount val="5"/>
                <c:pt idx="0">
                  <c:v>44.359845003388187</c:v>
                </c:pt>
                <c:pt idx="1">
                  <c:v>50.911559887917264</c:v>
                </c:pt>
                <c:pt idx="2">
                  <c:v>52.343616466558885</c:v>
                </c:pt>
                <c:pt idx="3">
                  <c:v>60.866031154662288</c:v>
                </c:pt>
                <c:pt idx="4">
                  <c:v>63.710351092558113</c:v>
                </c:pt>
              </c:numCache>
            </c:numRef>
          </c:val>
        </c:ser>
        <c:ser>
          <c:idx val="1"/>
          <c:order val="1"/>
          <c:spPr>
            <a:solidFill>
              <a:schemeClr val="bg1">
                <a:lumMod val="65000"/>
              </a:schemeClr>
            </a:solidFill>
          </c:spPr>
          <c:cat>
            <c:strRef>
              <c:f>Hoja8!$A$39:$A$43</c:f>
              <c:strCache>
                <c:ptCount val="5"/>
                <c:pt idx="0">
                  <c:v>carretera a Limón (n=785)</c:v>
                </c:pt>
                <c:pt idx="1">
                  <c:v>carretera San José-frontera sur (n=650)</c:v>
                </c:pt>
                <c:pt idx="2">
                  <c:v>carretera San José-frontera norte (n=721)</c:v>
                </c:pt>
                <c:pt idx="3">
                  <c:v>carretera Costanera (n=744)</c:v>
                </c:pt>
                <c:pt idx="4">
                  <c:v>carretera a Caldera (n=988)</c:v>
                </c:pt>
              </c:strCache>
            </c:strRef>
          </c:cat>
          <c:val>
            <c:numRef>
              <c:f>Hoja8!$C$39:$C$43</c:f>
              <c:numCache>
                <c:formatCode>General</c:formatCode>
                <c:ptCount val="5"/>
                <c:pt idx="0">
                  <c:v>3.6369978913117542</c:v>
                </c:pt>
                <c:pt idx="1">
                  <c:v>3.8691879164724692</c:v>
                </c:pt>
                <c:pt idx="2">
                  <c:v>3.6345423789487867</c:v>
                </c:pt>
                <c:pt idx="3">
                  <c:v>3.5367548949754668</c:v>
                </c:pt>
                <c:pt idx="4">
                  <c:v>2.8930629970704507</c:v>
                </c:pt>
              </c:numCache>
            </c:numRef>
          </c:val>
        </c:ser>
        <c:gapWidth val="70"/>
        <c:overlap val="100"/>
        <c:axId val="83976960"/>
        <c:axId val="88674688"/>
      </c:barChart>
      <c:catAx>
        <c:axId val="83976960"/>
        <c:scaling>
          <c:orientation val="minMax"/>
        </c:scaling>
        <c:axPos val="b"/>
        <c:majorGridlines/>
        <c:tickLblPos val="nextTo"/>
        <c:crossAx val="88674688"/>
        <c:crosses val="autoZero"/>
        <c:auto val="1"/>
        <c:lblAlgn val="ctr"/>
        <c:lblOffset val="100"/>
      </c:catAx>
      <c:valAx>
        <c:axId val="88674688"/>
        <c:scaling>
          <c:orientation val="minMax"/>
          <c:max val="100"/>
        </c:scaling>
        <c:axPos val="l"/>
        <c:majorGridlines/>
        <c:title>
          <c:tx>
            <c:rich>
              <a:bodyPr rot="-5400000" vert="horz"/>
              <a:lstStyle/>
              <a:p>
                <a:pPr>
                  <a:defRPr/>
                </a:pPr>
                <a:r>
                  <a:rPr lang="es-CR"/>
                  <a:t>Nota</a:t>
                </a:r>
              </a:p>
            </c:rich>
          </c:tx>
        </c:title>
        <c:numFmt formatCode="General" sourceLinked="1"/>
        <c:tickLblPos val="nextTo"/>
        <c:crossAx val="83976960"/>
        <c:crosses val="autoZero"/>
        <c:crossBetween val="between"/>
      </c:valAx>
    </c:plotArea>
    <c:plotVisOnly val="1"/>
  </c:chart>
  <c:spPr>
    <a:ln>
      <a:noFill/>
    </a:ln>
  </c:spPr>
  <c:txPr>
    <a:bodyPr/>
    <a:lstStyle/>
    <a:p>
      <a:pPr>
        <a:defRPr>
          <a:latin typeface="Arial" pitchFamily="34" charset="0"/>
          <a:cs typeface="Arial" pitchFamily="34" charset="0"/>
        </a:defRPr>
      </a:pPr>
      <a:endParaRPr lang="es-C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chart>
    <c:plotArea>
      <c:layout>
        <c:manualLayout>
          <c:layoutTarget val="inner"/>
          <c:xMode val="edge"/>
          <c:yMode val="edge"/>
          <c:x val="0.17925260954101191"/>
          <c:y val="1.4261724785386284E-2"/>
          <c:w val="0.42952522587410935"/>
          <c:h val="0.97147655042922754"/>
        </c:manualLayout>
      </c:layout>
      <c:doughnutChart>
        <c:varyColors val="1"/>
        <c:ser>
          <c:idx val="0"/>
          <c:order val="0"/>
          <c:spPr>
            <a:effectLst>
              <a:outerShdw blurRad="50800" dist="38100" dir="2700000" algn="tl" rotWithShape="0">
                <a:prstClr val="black">
                  <a:alpha val="40000"/>
                </a:prstClr>
              </a:outerShdw>
            </a:effectLst>
            <a:scene3d>
              <a:camera prst="orthographicFront"/>
              <a:lightRig rig="threePt" dir="t"/>
            </a:scene3d>
            <a:sp3d/>
          </c:spPr>
          <c:dLbls>
            <c:txPr>
              <a:bodyPr rot="0" vert="horz" anchor="t" anchorCtr="0"/>
              <a:lstStyle/>
              <a:p>
                <a:pPr>
                  <a:defRPr b="1"/>
                </a:pPr>
                <a:endParaRPr lang="es-CR"/>
              </a:p>
            </c:txPr>
            <c:showVal val="1"/>
            <c:showLeaderLines val="1"/>
          </c:dLbls>
          <c:cat>
            <c:strRef>
              <c:f>Hoja6!$B$3:$B$6</c:f>
              <c:strCache>
                <c:ptCount val="4"/>
                <c:pt idx="0">
                  <c:v>Estado</c:v>
                </c:pt>
                <c:pt idx="1">
                  <c:v>Empresa privada</c:v>
                </c:pt>
                <c:pt idx="2">
                  <c:v>Ambos</c:v>
                </c:pt>
                <c:pt idx="3">
                  <c:v>No responde</c:v>
                </c:pt>
              </c:strCache>
            </c:strRef>
          </c:cat>
          <c:val>
            <c:numRef>
              <c:f>Hoja6!$C$3:$C$6</c:f>
              <c:numCache>
                <c:formatCode>0.0%</c:formatCode>
                <c:ptCount val="4"/>
                <c:pt idx="0">
                  <c:v>0.54200000000000004</c:v>
                </c:pt>
                <c:pt idx="1">
                  <c:v>0.26800000000000002</c:v>
                </c:pt>
                <c:pt idx="2">
                  <c:v>0.15700000000000044</c:v>
                </c:pt>
                <c:pt idx="3">
                  <c:v>3.2000000000000042E-2</c:v>
                </c:pt>
              </c:numCache>
            </c:numRef>
          </c:val>
        </c:ser>
        <c:dLbls>
          <c:showVal val="1"/>
        </c:dLbls>
        <c:firstSliceAng val="270"/>
        <c:holeSize val="34"/>
      </c:doughnutChart>
    </c:plotArea>
    <c:legend>
      <c:legendPos val="r"/>
    </c:legend>
    <c:plotVisOnly val="1"/>
  </c:chart>
  <c:spPr>
    <a:ln>
      <a:noFill/>
    </a:ln>
  </c:spPr>
  <c:txPr>
    <a:bodyPr/>
    <a:lstStyle/>
    <a:p>
      <a:pPr>
        <a:defRPr>
          <a:latin typeface="Times New Roman" pitchFamily="18" charset="0"/>
          <a:cs typeface="Times New Roman" pitchFamily="18" charset="0"/>
        </a:defRPr>
      </a:pPr>
      <a:endParaRPr lang="es-CR"/>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B27094-1C56-4F7C-BFB1-A43F88AA0DC4}"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s-ES"/>
        </a:p>
      </dgm:t>
    </dgm:pt>
    <dgm:pt modelId="{1EF052EE-E779-4E2F-B3E0-EFB67085FB54}">
      <dgm:prSet phldrT="[Texto]" custT="1"/>
      <dgm:spPr/>
      <dgm:t>
        <a:bodyPr/>
        <a:lstStyle/>
        <a:p>
          <a:r>
            <a:rPr lang="es-ES" sz="1400" b="1">
              <a:latin typeface="Times New Roman" pitchFamily="18" charset="0"/>
              <a:cs typeface="Times New Roman" pitchFamily="18" charset="0"/>
            </a:rPr>
            <a:t>Índice de infraestructura</a:t>
          </a:r>
        </a:p>
      </dgm:t>
    </dgm:pt>
    <dgm:pt modelId="{FE15E98D-EEB0-4107-B031-5CEDAC1BD987}" type="parTrans" cxnId="{F039FB22-C740-4FB7-BC6B-E34DAF5F8077}">
      <dgm:prSet/>
      <dgm:spPr/>
      <dgm:t>
        <a:bodyPr/>
        <a:lstStyle/>
        <a:p>
          <a:endParaRPr lang="es-ES" sz="1800" b="1">
            <a:latin typeface="Times New Roman" pitchFamily="18" charset="0"/>
            <a:cs typeface="Times New Roman" pitchFamily="18" charset="0"/>
          </a:endParaRPr>
        </a:p>
      </dgm:t>
    </dgm:pt>
    <dgm:pt modelId="{23DA48A7-FCA0-47DB-968C-361E8E16F26A}" type="sibTrans" cxnId="{F039FB22-C740-4FB7-BC6B-E34DAF5F8077}">
      <dgm:prSet/>
      <dgm:spPr/>
      <dgm:t>
        <a:bodyPr/>
        <a:lstStyle/>
        <a:p>
          <a:endParaRPr lang="es-ES" sz="1800" b="1">
            <a:latin typeface="Times New Roman" pitchFamily="18" charset="0"/>
            <a:cs typeface="Times New Roman" pitchFamily="18" charset="0"/>
          </a:endParaRPr>
        </a:p>
      </dgm:t>
    </dgm:pt>
    <dgm:pt modelId="{C1BE94C1-F544-4AAE-ABF3-7D838F9A3561}">
      <dgm:prSet phldrT="[Texto]" custT="1"/>
      <dgm:spPr/>
      <dgm:t>
        <a:bodyPr/>
        <a:lstStyle/>
        <a:p>
          <a:r>
            <a:rPr lang="es-ES" sz="2800" b="1">
              <a:latin typeface="Times New Roman" pitchFamily="18" charset="0"/>
              <a:cs typeface="Times New Roman" pitchFamily="18" charset="0"/>
            </a:rPr>
            <a:t>27,5</a:t>
          </a:r>
        </a:p>
      </dgm:t>
    </dgm:pt>
    <dgm:pt modelId="{16876599-02A0-41BA-A878-7ADB1EC29D47}" type="parTrans" cxnId="{7D5D521A-1FF3-48F3-95E8-E21266EB335A}">
      <dgm:prSet/>
      <dgm:spPr/>
      <dgm:t>
        <a:bodyPr/>
        <a:lstStyle/>
        <a:p>
          <a:endParaRPr lang="es-ES" sz="1800" b="1">
            <a:latin typeface="Times New Roman" pitchFamily="18" charset="0"/>
            <a:cs typeface="Times New Roman" pitchFamily="18" charset="0"/>
          </a:endParaRPr>
        </a:p>
      </dgm:t>
    </dgm:pt>
    <dgm:pt modelId="{44B77DA0-2F1C-4B6C-9658-961EB3BF1045}" type="sibTrans" cxnId="{7D5D521A-1FF3-48F3-95E8-E21266EB335A}">
      <dgm:prSet/>
      <dgm:spPr/>
      <dgm:t>
        <a:bodyPr/>
        <a:lstStyle/>
        <a:p>
          <a:endParaRPr lang="es-ES" sz="1800" b="1">
            <a:latin typeface="Times New Roman" pitchFamily="18" charset="0"/>
            <a:cs typeface="Times New Roman" pitchFamily="18" charset="0"/>
          </a:endParaRPr>
        </a:p>
      </dgm:t>
    </dgm:pt>
    <dgm:pt modelId="{39E494B3-11BF-4019-B2DD-A53398F8FA75}">
      <dgm:prSet phldrT="[Texto]" custT="1"/>
      <dgm:spPr/>
      <dgm:t>
        <a:bodyPr/>
        <a:lstStyle/>
        <a:p>
          <a:r>
            <a:rPr lang="es-ES" sz="1400" b="1">
              <a:latin typeface="Times New Roman" pitchFamily="18" charset="0"/>
              <a:cs typeface="Times New Roman" pitchFamily="18" charset="0"/>
            </a:rPr>
            <a:t>Índice de carreteras principales</a:t>
          </a:r>
        </a:p>
      </dgm:t>
    </dgm:pt>
    <dgm:pt modelId="{B8C5FC32-ADCC-40A1-94EB-09B2DF74C0D3}" type="parTrans" cxnId="{B43FE2B2-1ACB-4F22-9959-C1C7BF947E29}">
      <dgm:prSet/>
      <dgm:spPr/>
      <dgm:t>
        <a:bodyPr/>
        <a:lstStyle/>
        <a:p>
          <a:endParaRPr lang="es-ES" sz="1800" b="1">
            <a:latin typeface="Times New Roman" pitchFamily="18" charset="0"/>
            <a:cs typeface="Times New Roman" pitchFamily="18" charset="0"/>
          </a:endParaRPr>
        </a:p>
      </dgm:t>
    </dgm:pt>
    <dgm:pt modelId="{CCEE0EE3-915B-421F-9C64-2110A4808218}" type="sibTrans" cxnId="{B43FE2B2-1ACB-4F22-9959-C1C7BF947E29}">
      <dgm:prSet/>
      <dgm:spPr/>
      <dgm:t>
        <a:bodyPr/>
        <a:lstStyle/>
        <a:p>
          <a:endParaRPr lang="es-ES" sz="1800" b="1">
            <a:latin typeface="Times New Roman" pitchFamily="18" charset="0"/>
            <a:cs typeface="Times New Roman" pitchFamily="18" charset="0"/>
          </a:endParaRPr>
        </a:p>
      </dgm:t>
    </dgm:pt>
    <dgm:pt modelId="{0D67CF2E-2F5F-481C-94EF-1371E5E47DE4}">
      <dgm:prSet phldrT="[Texto]" custT="1"/>
      <dgm:spPr/>
      <dgm:t>
        <a:bodyPr/>
        <a:lstStyle/>
        <a:p>
          <a:r>
            <a:rPr lang="es-ES" sz="2800" b="1">
              <a:latin typeface="Times New Roman" pitchFamily="18" charset="0"/>
              <a:cs typeface="Times New Roman" pitchFamily="18" charset="0"/>
            </a:rPr>
            <a:t>52,7</a:t>
          </a:r>
        </a:p>
      </dgm:t>
    </dgm:pt>
    <dgm:pt modelId="{CB8FFA18-C5E7-4C62-986F-9DE30BFA0086}" type="parTrans" cxnId="{AC2F2B31-B160-4070-BFC6-D16873624167}">
      <dgm:prSet/>
      <dgm:spPr/>
      <dgm:t>
        <a:bodyPr/>
        <a:lstStyle/>
        <a:p>
          <a:endParaRPr lang="es-ES" sz="1800" b="1">
            <a:latin typeface="Times New Roman" pitchFamily="18" charset="0"/>
            <a:cs typeface="Times New Roman" pitchFamily="18" charset="0"/>
          </a:endParaRPr>
        </a:p>
      </dgm:t>
    </dgm:pt>
    <dgm:pt modelId="{3CFDD762-46D9-4D73-8016-6BC3914753B0}" type="sibTrans" cxnId="{AC2F2B31-B160-4070-BFC6-D16873624167}">
      <dgm:prSet/>
      <dgm:spPr/>
      <dgm:t>
        <a:bodyPr/>
        <a:lstStyle/>
        <a:p>
          <a:endParaRPr lang="es-ES" sz="1800" b="1">
            <a:latin typeface="Times New Roman" pitchFamily="18" charset="0"/>
            <a:cs typeface="Times New Roman" pitchFamily="18" charset="0"/>
          </a:endParaRPr>
        </a:p>
      </dgm:t>
    </dgm:pt>
    <dgm:pt modelId="{A68E09CC-92D1-4A9B-B5FD-C517CAD38D23}">
      <dgm:prSet phldrT="[Texto]" custT="1"/>
      <dgm:spPr/>
      <dgm:t>
        <a:bodyPr/>
        <a:lstStyle/>
        <a:p>
          <a:r>
            <a:rPr lang="es-ES" sz="1400" b="1">
              <a:latin typeface="Times New Roman" pitchFamily="18" charset="0"/>
              <a:cs typeface="Times New Roman" pitchFamily="18" charset="0"/>
            </a:rPr>
            <a:t>Índice de instituciones</a:t>
          </a:r>
        </a:p>
      </dgm:t>
    </dgm:pt>
    <dgm:pt modelId="{7C177A4C-4725-4A4E-B7CB-1001E0C4AD2C}" type="sibTrans" cxnId="{A7BE54C6-43AF-4F06-9A55-2B933BD2CF80}">
      <dgm:prSet/>
      <dgm:spPr/>
      <dgm:t>
        <a:bodyPr/>
        <a:lstStyle/>
        <a:p>
          <a:endParaRPr lang="es-ES" sz="1800" b="1">
            <a:latin typeface="Times New Roman" pitchFamily="18" charset="0"/>
            <a:cs typeface="Times New Roman" pitchFamily="18" charset="0"/>
          </a:endParaRPr>
        </a:p>
      </dgm:t>
    </dgm:pt>
    <dgm:pt modelId="{15EEAF80-C369-4E37-BE2E-8D226E77BDE7}" type="parTrans" cxnId="{A7BE54C6-43AF-4F06-9A55-2B933BD2CF80}">
      <dgm:prSet/>
      <dgm:spPr/>
      <dgm:t>
        <a:bodyPr/>
        <a:lstStyle/>
        <a:p>
          <a:endParaRPr lang="es-ES" sz="1800" b="1">
            <a:latin typeface="Times New Roman" pitchFamily="18" charset="0"/>
            <a:cs typeface="Times New Roman" pitchFamily="18" charset="0"/>
          </a:endParaRPr>
        </a:p>
      </dgm:t>
    </dgm:pt>
    <dgm:pt modelId="{7724B7E3-9617-4471-84AF-BB0D75111949}">
      <dgm:prSet phldrT="[Texto]" custT="1"/>
      <dgm:spPr/>
      <dgm:t>
        <a:bodyPr/>
        <a:lstStyle/>
        <a:p>
          <a:r>
            <a:rPr lang="es-ES" sz="2800" b="1">
              <a:latin typeface="Times New Roman" pitchFamily="18" charset="0"/>
              <a:cs typeface="Times New Roman" pitchFamily="18" charset="0"/>
            </a:rPr>
            <a:t>54,6</a:t>
          </a:r>
        </a:p>
      </dgm:t>
    </dgm:pt>
    <dgm:pt modelId="{109B5EA7-7387-4E69-860D-FE83724BA85B}" type="sibTrans" cxnId="{476B6AB7-60F7-4975-8BC7-190E58DF69A1}">
      <dgm:prSet/>
      <dgm:spPr/>
      <dgm:t>
        <a:bodyPr/>
        <a:lstStyle/>
        <a:p>
          <a:endParaRPr lang="es-ES" sz="1800" b="1">
            <a:latin typeface="Times New Roman" pitchFamily="18" charset="0"/>
            <a:cs typeface="Times New Roman" pitchFamily="18" charset="0"/>
          </a:endParaRPr>
        </a:p>
      </dgm:t>
    </dgm:pt>
    <dgm:pt modelId="{B6C9F2DF-10C8-474D-B95A-343627FD696E}" type="parTrans" cxnId="{476B6AB7-60F7-4975-8BC7-190E58DF69A1}">
      <dgm:prSet/>
      <dgm:spPr/>
      <dgm:t>
        <a:bodyPr/>
        <a:lstStyle/>
        <a:p>
          <a:endParaRPr lang="es-ES" sz="1800" b="1">
            <a:latin typeface="Times New Roman" pitchFamily="18" charset="0"/>
            <a:cs typeface="Times New Roman" pitchFamily="18" charset="0"/>
          </a:endParaRPr>
        </a:p>
      </dgm:t>
    </dgm:pt>
    <dgm:pt modelId="{DAB74405-4F96-4543-8879-CACCA0A96A02}" type="pres">
      <dgm:prSet presAssocID="{D3B27094-1C56-4F7C-BFB1-A43F88AA0DC4}" presName="theList" presStyleCnt="0">
        <dgm:presLayoutVars>
          <dgm:dir/>
          <dgm:animLvl val="lvl"/>
          <dgm:resizeHandles val="exact"/>
        </dgm:presLayoutVars>
      </dgm:prSet>
      <dgm:spPr/>
      <dgm:t>
        <a:bodyPr/>
        <a:lstStyle/>
        <a:p>
          <a:endParaRPr lang="es-ES"/>
        </a:p>
      </dgm:t>
    </dgm:pt>
    <dgm:pt modelId="{7E3244C2-2CA0-4FF8-AB5B-B6642F252C0C}" type="pres">
      <dgm:prSet presAssocID="{1EF052EE-E779-4E2F-B3E0-EFB67085FB54}" presName="compNode" presStyleCnt="0"/>
      <dgm:spPr/>
    </dgm:pt>
    <dgm:pt modelId="{D8DF7B00-5036-4257-95EA-254CE7C7A4B5}" type="pres">
      <dgm:prSet presAssocID="{1EF052EE-E779-4E2F-B3E0-EFB67085FB54}" presName="aNode" presStyleLbl="bgShp" presStyleIdx="0" presStyleCnt="3"/>
      <dgm:spPr/>
      <dgm:t>
        <a:bodyPr/>
        <a:lstStyle/>
        <a:p>
          <a:endParaRPr lang="es-ES"/>
        </a:p>
      </dgm:t>
    </dgm:pt>
    <dgm:pt modelId="{07070370-0C34-4539-B746-720614811100}" type="pres">
      <dgm:prSet presAssocID="{1EF052EE-E779-4E2F-B3E0-EFB67085FB54}" presName="textNode" presStyleLbl="bgShp" presStyleIdx="0" presStyleCnt="3"/>
      <dgm:spPr/>
      <dgm:t>
        <a:bodyPr/>
        <a:lstStyle/>
        <a:p>
          <a:endParaRPr lang="es-ES"/>
        </a:p>
      </dgm:t>
    </dgm:pt>
    <dgm:pt modelId="{400283DF-8A25-4D8A-B182-890BDA9AAE27}" type="pres">
      <dgm:prSet presAssocID="{1EF052EE-E779-4E2F-B3E0-EFB67085FB54}" presName="compChildNode" presStyleCnt="0"/>
      <dgm:spPr/>
    </dgm:pt>
    <dgm:pt modelId="{565913DF-7009-4FAA-8CC1-8AD3DF8C0C6F}" type="pres">
      <dgm:prSet presAssocID="{1EF052EE-E779-4E2F-B3E0-EFB67085FB54}" presName="theInnerList" presStyleCnt="0"/>
      <dgm:spPr/>
    </dgm:pt>
    <dgm:pt modelId="{047FB02A-F841-455D-A656-5344010BB106}" type="pres">
      <dgm:prSet presAssocID="{C1BE94C1-F544-4AAE-ABF3-7D838F9A3561}" presName="childNode" presStyleLbl="node1" presStyleIdx="0" presStyleCnt="3">
        <dgm:presLayoutVars>
          <dgm:bulletEnabled val="1"/>
        </dgm:presLayoutVars>
      </dgm:prSet>
      <dgm:spPr/>
      <dgm:t>
        <a:bodyPr/>
        <a:lstStyle/>
        <a:p>
          <a:endParaRPr lang="es-ES"/>
        </a:p>
      </dgm:t>
    </dgm:pt>
    <dgm:pt modelId="{F1424CC5-1CB1-4935-8F94-EED9DC015FA8}" type="pres">
      <dgm:prSet presAssocID="{1EF052EE-E779-4E2F-B3E0-EFB67085FB54}" presName="aSpace" presStyleCnt="0"/>
      <dgm:spPr/>
    </dgm:pt>
    <dgm:pt modelId="{0DA7AED6-576E-4104-B40D-30EA025D58F8}" type="pres">
      <dgm:prSet presAssocID="{39E494B3-11BF-4019-B2DD-A53398F8FA75}" presName="compNode" presStyleCnt="0"/>
      <dgm:spPr/>
    </dgm:pt>
    <dgm:pt modelId="{8B935DC2-2E11-46C9-81B0-16F46ABD365B}" type="pres">
      <dgm:prSet presAssocID="{39E494B3-11BF-4019-B2DD-A53398F8FA75}" presName="aNode" presStyleLbl="bgShp" presStyleIdx="1" presStyleCnt="3"/>
      <dgm:spPr/>
      <dgm:t>
        <a:bodyPr/>
        <a:lstStyle/>
        <a:p>
          <a:endParaRPr lang="es-ES"/>
        </a:p>
      </dgm:t>
    </dgm:pt>
    <dgm:pt modelId="{7FB3B546-26A9-408C-94B1-045CC0E6DBC6}" type="pres">
      <dgm:prSet presAssocID="{39E494B3-11BF-4019-B2DD-A53398F8FA75}" presName="textNode" presStyleLbl="bgShp" presStyleIdx="1" presStyleCnt="3"/>
      <dgm:spPr/>
      <dgm:t>
        <a:bodyPr/>
        <a:lstStyle/>
        <a:p>
          <a:endParaRPr lang="es-ES"/>
        </a:p>
      </dgm:t>
    </dgm:pt>
    <dgm:pt modelId="{5150D0F7-12BF-4771-9E1C-CC7BC5D90A32}" type="pres">
      <dgm:prSet presAssocID="{39E494B3-11BF-4019-B2DD-A53398F8FA75}" presName="compChildNode" presStyleCnt="0"/>
      <dgm:spPr/>
    </dgm:pt>
    <dgm:pt modelId="{045AA117-63C5-4C93-82C2-C7FB9D94DA8E}" type="pres">
      <dgm:prSet presAssocID="{39E494B3-11BF-4019-B2DD-A53398F8FA75}" presName="theInnerList" presStyleCnt="0"/>
      <dgm:spPr/>
    </dgm:pt>
    <dgm:pt modelId="{40A42B15-136D-4F21-8F86-EE30A7101E8C}" type="pres">
      <dgm:prSet presAssocID="{7724B7E3-9617-4471-84AF-BB0D75111949}" presName="childNode" presStyleLbl="node1" presStyleIdx="1" presStyleCnt="3">
        <dgm:presLayoutVars>
          <dgm:bulletEnabled val="1"/>
        </dgm:presLayoutVars>
      </dgm:prSet>
      <dgm:spPr/>
      <dgm:t>
        <a:bodyPr/>
        <a:lstStyle/>
        <a:p>
          <a:endParaRPr lang="es-ES"/>
        </a:p>
      </dgm:t>
    </dgm:pt>
    <dgm:pt modelId="{59F8A8C1-C8D0-4F05-A58D-4175B772E5D6}" type="pres">
      <dgm:prSet presAssocID="{39E494B3-11BF-4019-B2DD-A53398F8FA75}" presName="aSpace" presStyleCnt="0"/>
      <dgm:spPr/>
    </dgm:pt>
    <dgm:pt modelId="{CC17328D-15E3-419F-BCBE-FF6803994E7F}" type="pres">
      <dgm:prSet presAssocID="{A68E09CC-92D1-4A9B-B5FD-C517CAD38D23}" presName="compNode" presStyleCnt="0"/>
      <dgm:spPr/>
    </dgm:pt>
    <dgm:pt modelId="{DC80E191-7CE5-46CA-8E0A-7CF2983047FC}" type="pres">
      <dgm:prSet presAssocID="{A68E09CC-92D1-4A9B-B5FD-C517CAD38D23}" presName="aNode" presStyleLbl="bgShp" presStyleIdx="2" presStyleCnt="3"/>
      <dgm:spPr/>
      <dgm:t>
        <a:bodyPr/>
        <a:lstStyle/>
        <a:p>
          <a:endParaRPr lang="es-ES"/>
        </a:p>
      </dgm:t>
    </dgm:pt>
    <dgm:pt modelId="{B48CBBCB-5754-4D24-AF62-682AB6E14EF5}" type="pres">
      <dgm:prSet presAssocID="{A68E09CC-92D1-4A9B-B5FD-C517CAD38D23}" presName="textNode" presStyleLbl="bgShp" presStyleIdx="2" presStyleCnt="3"/>
      <dgm:spPr/>
      <dgm:t>
        <a:bodyPr/>
        <a:lstStyle/>
        <a:p>
          <a:endParaRPr lang="es-ES"/>
        </a:p>
      </dgm:t>
    </dgm:pt>
    <dgm:pt modelId="{7001633D-507F-4C64-A368-6116D9D99690}" type="pres">
      <dgm:prSet presAssocID="{A68E09CC-92D1-4A9B-B5FD-C517CAD38D23}" presName="compChildNode" presStyleCnt="0"/>
      <dgm:spPr/>
    </dgm:pt>
    <dgm:pt modelId="{7BD40402-A278-4D57-841E-778EEFDD774C}" type="pres">
      <dgm:prSet presAssocID="{A68E09CC-92D1-4A9B-B5FD-C517CAD38D23}" presName="theInnerList" presStyleCnt="0"/>
      <dgm:spPr/>
    </dgm:pt>
    <dgm:pt modelId="{EDACE96F-9FF7-4FAF-836B-1ABB6314EF99}" type="pres">
      <dgm:prSet presAssocID="{0D67CF2E-2F5F-481C-94EF-1371E5E47DE4}" presName="childNode" presStyleLbl="node1" presStyleIdx="2" presStyleCnt="3">
        <dgm:presLayoutVars>
          <dgm:bulletEnabled val="1"/>
        </dgm:presLayoutVars>
      </dgm:prSet>
      <dgm:spPr/>
      <dgm:t>
        <a:bodyPr/>
        <a:lstStyle/>
        <a:p>
          <a:endParaRPr lang="es-ES"/>
        </a:p>
      </dgm:t>
    </dgm:pt>
  </dgm:ptLst>
  <dgm:cxnLst>
    <dgm:cxn modelId="{476B6AB7-60F7-4975-8BC7-190E58DF69A1}" srcId="{39E494B3-11BF-4019-B2DD-A53398F8FA75}" destId="{7724B7E3-9617-4471-84AF-BB0D75111949}" srcOrd="0" destOrd="0" parTransId="{B6C9F2DF-10C8-474D-B95A-343627FD696E}" sibTransId="{109B5EA7-7387-4E69-860D-FE83724BA85B}"/>
    <dgm:cxn modelId="{68451FBC-2294-4F28-AD9C-45C567FD1B83}" type="presOf" srcId="{1EF052EE-E779-4E2F-B3E0-EFB67085FB54}" destId="{07070370-0C34-4539-B746-720614811100}" srcOrd="1" destOrd="0" presId="urn:microsoft.com/office/officeart/2005/8/layout/lProcess2"/>
    <dgm:cxn modelId="{F85F96D0-B583-43F7-A34A-F84A6BB2F197}" type="presOf" srcId="{C1BE94C1-F544-4AAE-ABF3-7D838F9A3561}" destId="{047FB02A-F841-455D-A656-5344010BB106}" srcOrd="0" destOrd="0" presId="urn:microsoft.com/office/officeart/2005/8/layout/lProcess2"/>
    <dgm:cxn modelId="{A2926E04-6CFA-4307-8624-1B32C74794B0}" type="presOf" srcId="{A68E09CC-92D1-4A9B-B5FD-C517CAD38D23}" destId="{B48CBBCB-5754-4D24-AF62-682AB6E14EF5}" srcOrd="1" destOrd="0" presId="urn:microsoft.com/office/officeart/2005/8/layout/lProcess2"/>
    <dgm:cxn modelId="{7D5D521A-1FF3-48F3-95E8-E21266EB335A}" srcId="{1EF052EE-E779-4E2F-B3E0-EFB67085FB54}" destId="{C1BE94C1-F544-4AAE-ABF3-7D838F9A3561}" srcOrd="0" destOrd="0" parTransId="{16876599-02A0-41BA-A878-7ADB1EC29D47}" sibTransId="{44B77DA0-2F1C-4B6C-9658-961EB3BF1045}"/>
    <dgm:cxn modelId="{61A4EE0F-04A9-4DDD-9896-3FE79F3C3355}" type="presOf" srcId="{1EF052EE-E779-4E2F-B3E0-EFB67085FB54}" destId="{D8DF7B00-5036-4257-95EA-254CE7C7A4B5}" srcOrd="0" destOrd="0" presId="urn:microsoft.com/office/officeart/2005/8/layout/lProcess2"/>
    <dgm:cxn modelId="{B43FE2B2-1ACB-4F22-9959-C1C7BF947E29}" srcId="{D3B27094-1C56-4F7C-BFB1-A43F88AA0DC4}" destId="{39E494B3-11BF-4019-B2DD-A53398F8FA75}" srcOrd="1" destOrd="0" parTransId="{B8C5FC32-ADCC-40A1-94EB-09B2DF74C0D3}" sibTransId="{CCEE0EE3-915B-421F-9C64-2110A4808218}"/>
    <dgm:cxn modelId="{AC2F2B31-B160-4070-BFC6-D16873624167}" srcId="{A68E09CC-92D1-4A9B-B5FD-C517CAD38D23}" destId="{0D67CF2E-2F5F-481C-94EF-1371E5E47DE4}" srcOrd="0" destOrd="0" parTransId="{CB8FFA18-C5E7-4C62-986F-9DE30BFA0086}" sibTransId="{3CFDD762-46D9-4D73-8016-6BC3914753B0}"/>
    <dgm:cxn modelId="{0BA098C9-4FB0-4F64-94B2-04E22A2E7068}" type="presOf" srcId="{A68E09CC-92D1-4A9B-B5FD-C517CAD38D23}" destId="{DC80E191-7CE5-46CA-8E0A-7CF2983047FC}" srcOrd="0" destOrd="0" presId="urn:microsoft.com/office/officeart/2005/8/layout/lProcess2"/>
    <dgm:cxn modelId="{0426DCBE-21E4-43FE-AB53-71BFF40F85A6}" type="presOf" srcId="{7724B7E3-9617-4471-84AF-BB0D75111949}" destId="{40A42B15-136D-4F21-8F86-EE30A7101E8C}" srcOrd="0" destOrd="0" presId="urn:microsoft.com/office/officeart/2005/8/layout/lProcess2"/>
    <dgm:cxn modelId="{1F131903-29F2-460B-8DCC-6A3F5A83D439}" type="presOf" srcId="{39E494B3-11BF-4019-B2DD-A53398F8FA75}" destId="{7FB3B546-26A9-408C-94B1-045CC0E6DBC6}" srcOrd="1" destOrd="0" presId="urn:microsoft.com/office/officeart/2005/8/layout/lProcess2"/>
    <dgm:cxn modelId="{1E3106A2-31AE-4CF3-99FE-B0D4D9ACFAAB}" type="presOf" srcId="{D3B27094-1C56-4F7C-BFB1-A43F88AA0DC4}" destId="{DAB74405-4F96-4543-8879-CACCA0A96A02}" srcOrd="0" destOrd="0" presId="urn:microsoft.com/office/officeart/2005/8/layout/lProcess2"/>
    <dgm:cxn modelId="{390108F8-935D-4E4D-825A-D413C9D19CB4}" type="presOf" srcId="{0D67CF2E-2F5F-481C-94EF-1371E5E47DE4}" destId="{EDACE96F-9FF7-4FAF-836B-1ABB6314EF99}" srcOrd="0" destOrd="0" presId="urn:microsoft.com/office/officeart/2005/8/layout/lProcess2"/>
    <dgm:cxn modelId="{F039FB22-C740-4FB7-BC6B-E34DAF5F8077}" srcId="{D3B27094-1C56-4F7C-BFB1-A43F88AA0DC4}" destId="{1EF052EE-E779-4E2F-B3E0-EFB67085FB54}" srcOrd="0" destOrd="0" parTransId="{FE15E98D-EEB0-4107-B031-5CEDAC1BD987}" sibTransId="{23DA48A7-FCA0-47DB-968C-361E8E16F26A}"/>
    <dgm:cxn modelId="{8B1B5C5E-5C29-4C5A-8D1A-4DD2F122F792}" type="presOf" srcId="{39E494B3-11BF-4019-B2DD-A53398F8FA75}" destId="{8B935DC2-2E11-46C9-81B0-16F46ABD365B}" srcOrd="0" destOrd="0" presId="urn:microsoft.com/office/officeart/2005/8/layout/lProcess2"/>
    <dgm:cxn modelId="{A7BE54C6-43AF-4F06-9A55-2B933BD2CF80}" srcId="{D3B27094-1C56-4F7C-BFB1-A43F88AA0DC4}" destId="{A68E09CC-92D1-4A9B-B5FD-C517CAD38D23}" srcOrd="2" destOrd="0" parTransId="{15EEAF80-C369-4E37-BE2E-8D226E77BDE7}" sibTransId="{7C177A4C-4725-4A4E-B7CB-1001E0C4AD2C}"/>
    <dgm:cxn modelId="{BF75B984-3C81-41C9-BAE2-CA55A0FF31F9}" type="presParOf" srcId="{DAB74405-4F96-4543-8879-CACCA0A96A02}" destId="{7E3244C2-2CA0-4FF8-AB5B-B6642F252C0C}" srcOrd="0" destOrd="0" presId="urn:microsoft.com/office/officeart/2005/8/layout/lProcess2"/>
    <dgm:cxn modelId="{C2D11F88-A1B1-4C12-94E5-41252E7731BC}" type="presParOf" srcId="{7E3244C2-2CA0-4FF8-AB5B-B6642F252C0C}" destId="{D8DF7B00-5036-4257-95EA-254CE7C7A4B5}" srcOrd="0" destOrd="0" presId="urn:microsoft.com/office/officeart/2005/8/layout/lProcess2"/>
    <dgm:cxn modelId="{BC5EF507-7D6C-4260-A3AB-41D1D9EE3F99}" type="presParOf" srcId="{7E3244C2-2CA0-4FF8-AB5B-B6642F252C0C}" destId="{07070370-0C34-4539-B746-720614811100}" srcOrd="1" destOrd="0" presId="urn:microsoft.com/office/officeart/2005/8/layout/lProcess2"/>
    <dgm:cxn modelId="{D09499FC-C436-4E91-A960-00D3FFF091C0}" type="presParOf" srcId="{7E3244C2-2CA0-4FF8-AB5B-B6642F252C0C}" destId="{400283DF-8A25-4D8A-B182-890BDA9AAE27}" srcOrd="2" destOrd="0" presId="urn:microsoft.com/office/officeart/2005/8/layout/lProcess2"/>
    <dgm:cxn modelId="{4AE40EA6-8E62-44E0-A17F-E05E6D6488E6}" type="presParOf" srcId="{400283DF-8A25-4D8A-B182-890BDA9AAE27}" destId="{565913DF-7009-4FAA-8CC1-8AD3DF8C0C6F}" srcOrd="0" destOrd="0" presId="urn:microsoft.com/office/officeart/2005/8/layout/lProcess2"/>
    <dgm:cxn modelId="{2B808D18-E8E4-42B6-A4FE-A78206710915}" type="presParOf" srcId="{565913DF-7009-4FAA-8CC1-8AD3DF8C0C6F}" destId="{047FB02A-F841-455D-A656-5344010BB106}" srcOrd="0" destOrd="0" presId="urn:microsoft.com/office/officeart/2005/8/layout/lProcess2"/>
    <dgm:cxn modelId="{7234F969-E9B3-4BC0-9AD1-14F418221676}" type="presParOf" srcId="{DAB74405-4F96-4543-8879-CACCA0A96A02}" destId="{F1424CC5-1CB1-4935-8F94-EED9DC015FA8}" srcOrd="1" destOrd="0" presId="urn:microsoft.com/office/officeart/2005/8/layout/lProcess2"/>
    <dgm:cxn modelId="{68525732-A7F8-42C8-B23C-7B27E33664C5}" type="presParOf" srcId="{DAB74405-4F96-4543-8879-CACCA0A96A02}" destId="{0DA7AED6-576E-4104-B40D-30EA025D58F8}" srcOrd="2" destOrd="0" presId="urn:microsoft.com/office/officeart/2005/8/layout/lProcess2"/>
    <dgm:cxn modelId="{D3EBF495-2FA9-41C5-8178-5D2380211BF3}" type="presParOf" srcId="{0DA7AED6-576E-4104-B40D-30EA025D58F8}" destId="{8B935DC2-2E11-46C9-81B0-16F46ABD365B}" srcOrd="0" destOrd="0" presId="urn:microsoft.com/office/officeart/2005/8/layout/lProcess2"/>
    <dgm:cxn modelId="{A07BB8E5-2543-451B-BCFA-3F02DA3910C8}" type="presParOf" srcId="{0DA7AED6-576E-4104-B40D-30EA025D58F8}" destId="{7FB3B546-26A9-408C-94B1-045CC0E6DBC6}" srcOrd="1" destOrd="0" presId="urn:microsoft.com/office/officeart/2005/8/layout/lProcess2"/>
    <dgm:cxn modelId="{8C0F45D7-8FCC-4D4A-BC9A-29377B0A67C8}" type="presParOf" srcId="{0DA7AED6-576E-4104-B40D-30EA025D58F8}" destId="{5150D0F7-12BF-4771-9E1C-CC7BC5D90A32}" srcOrd="2" destOrd="0" presId="urn:microsoft.com/office/officeart/2005/8/layout/lProcess2"/>
    <dgm:cxn modelId="{EA7BE5D9-CBD9-45A3-BD84-2B467B56CDA7}" type="presParOf" srcId="{5150D0F7-12BF-4771-9E1C-CC7BC5D90A32}" destId="{045AA117-63C5-4C93-82C2-C7FB9D94DA8E}" srcOrd="0" destOrd="0" presId="urn:microsoft.com/office/officeart/2005/8/layout/lProcess2"/>
    <dgm:cxn modelId="{12ECD2B8-3B8B-44B8-8A00-42932AEA2811}" type="presParOf" srcId="{045AA117-63C5-4C93-82C2-C7FB9D94DA8E}" destId="{40A42B15-136D-4F21-8F86-EE30A7101E8C}" srcOrd="0" destOrd="0" presId="urn:microsoft.com/office/officeart/2005/8/layout/lProcess2"/>
    <dgm:cxn modelId="{212C4304-FD84-4C3C-8F6A-F7C675118720}" type="presParOf" srcId="{DAB74405-4F96-4543-8879-CACCA0A96A02}" destId="{59F8A8C1-C8D0-4F05-A58D-4175B772E5D6}" srcOrd="3" destOrd="0" presId="urn:microsoft.com/office/officeart/2005/8/layout/lProcess2"/>
    <dgm:cxn modelId="{ABDB9717-BBDD-4749-BD1E-61F449E10CCC}" type="presParOf" srcId="{DAB74405-4F96-4543-8879-CACCA0A96A02}" destId="{CC17328D-15E3-419F-BCBE-FF6803994E7F}" srcOrd="4" destOrd="0" presId="urn:microsoft.com/office/officeart/2005/8/layout/lProcess2"/>
    <dgm:cxn modelId="{FE21510F-CDB7-4C1A-B0B2-D6B31AFA3A3D}" type="presParOf" srcId="{CC17328D-15E3-419F-BCBE-FF6803994E7F}" destId="{DC80E191-7CE5-46CA-8E0A-7CF2983047FC}" srcOrd="0" destOrd="0" presId="urn:microsoft.com/office/officeart/2005/8/layout/lProcess2"/>
    <dgm:cxn modelId="{E0BEF32C-CCF1-4F56-B775-15246688DD0B}" type="presParOf" srcId="{CC17328D-15E3-419F-BCBE-FF6803994E7F}" destId="{B48CBBCB-5754-4D24-AF62-682AB6E14EF5}" srcOrd="1" destOrd="0" presId="urn:microsoft.com/office/officeart/2005/8/layout/lProcess2"/>
    <dgm:cxn modelId="{E75CD7E2-A134-4368-8DF4-A32738AA12F0}" type="presParOf" srcId="{CC17328D-15E3-419F-BCBE-FF6803994E7F}" destId="{7001633D-507F-4C64-A368-6116D9D99690}" srcOrd="2" destOrd="0" presId="urn:microsoft.com/office/officeart/2005/8/layout/lProcess2"/>
    <dgm:cxn modelId="{05F4BAE6-31E5-4486-BF56-ABED2550EB6B}" type="presParOf" srcId="{7001633D-507F-4C64-A368-6116D9D99690}" destId="{7BD40402-A278-4D57-841E-778EEFDD774C}" srcOrd="0" destOrd="0" presId="urn:microsoft.com/office/officeart/2005/8/layout/lProcess2"/>
    <dgm:cxn modelId="{B909D57A-76E8-43B7-BF23-604D1DCE136D}" type="presParOf" srcId="{7BD40402-A278-4D57-841E-778EEFDD774C}" destId="{EDACE96F-9FF7-4FAF-836B-1ABB6314EF99}" srcOrd="0" destOrd="0" presId="urn:microsoft.com/office/officeart/2005/8/layout/lProcess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DF7B00-5036-4257-95EA-254CE7C7A4B5}">
      <dsp:nvSpPr>
        <dsp:cNvPr id="0" name=""/>
        <dsp:cNvSpPr/>
      </dsp:nvSpPr>
      <dsp:spPr>
        <a:xfrm>
          <a:off x="477" y="0"/>
          <a:ext cx="1240615" cy="147579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latin typeface="Times New Roman" pitchFamily="18" charset="0"/>
              <a:cs typeface="Times New Roman" pitchFamily="18" charset="0"/>
            </a:rPr>
            <a:t>Índice de infraestructura</a:t>
          </a:r>
        </a:p>
      </dsp:txBody>
      <dsp:txXfrm>
        <a:off x="477" y="0"/>
        <a:ext cx="1240615" cy="442738"/>
      </dsp:txXfrm>
    </dsp:sp>
    <dsp:sp modelId="{047FB02A-F841-455D-A656-5344010BB106}">
      <dsp:nvSpPr>
        <dsp:cNvPr id="0" name=""/>
        <dsp:cNvSpPr/>
      </dsp:nvSpPr>
      <dsp:spPr>
        <a:xfrm>
          <a:off x="124538" y="442738"/>
          <a:ext cx="992492" cy="959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53340" rIns="71120" bIns="53340" numCol="1" spcCol="1270" anchor="ctr" anchorCtr="0">
          <a:noAutofit/>
        </a:bodyPr>
        <a:lstStyle/>
        <a:p>
          <a:pPr lvl="0" algn="ctr" defTabSz="1244600">
            <a:lnSpc>
              <a:spcPct val="90000"/>
            </a:lnSpc>
            <a:spcBef>
              <a:spcPct val="0"/>
            </a:spcBef>
            <a:spcAft>
              <a:spcPct val="35000"/>
            </a:spcAft>
          </a:pPr>
          <a:r>
            <a:rPr lang="es-ES" sz="2800" b="1" kern="1200">
              <a:latin typeface="Times New Roman" pitchFamily="18" charset="0"/>
              <a:cs typeface="Times New Roman" pitchFamily="18" charset="0"/>
            </a:rPr>
            <a:t>27,5</a:t>
          </a:r>
        </a:p>
      </dsp:txBody>
      <dsp:txXfrm>
        <a:off x="124538" y="442738"/>
        <a:ext cx="992492" cy="959266"/>
      </dsp:txXfrm>
    </dsp:sp>
    <dsp:sp modelId="{8B935DC2-2E11-46C9-81B0-16F46ABD365B}">
      <dsp:nvSpPr>
        <dsp:cNvPr id="0" name=""/>
        <dsp:cNvSpPr/>
      </dsp:nvSpPr>
      <dsp:spPr>
        <a:xfrm>
          <a:off x="1334139" y="0"/>
          <a:ext cx="1240615" cy="147579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latin typeface="Times New Roman" pitchFamily="18" charset="0"/>
              <a:cs typeface="Times New Roman" pitchFamily="18" charset="0"/>
            </a:rPr>
            <a:t>Índice de carreteras principales</a:t>
          </a:r>
        </a:p>
      </dsp:txBody>
      <dsp:txXfrm>
        <a:off x="1334139" y="0"/>
        <a:ext cx="1240615" cy="442738"/>
      </dsp:txXfrm>
    </dsp:sp>
    <dsp:sp modelId="{40A42B15-136D-4F21-8F86-EE30A7101E8C}">
      <dsp:nvSpPr>
        <dsp:cNvPr id="0" name=""/>
        <dsp:cNvSpPr/>
      </dsp:nvSpPr>
      <dsp:spPr>
        <a:xfrm>
          <a:off x="1458200" y="442738"/>
          <a:ext cx="992492" cy="959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53340" rIns="71120" bIns="53340" numCol="1" spcCol="1270" anchor="ctr" anchorCtr="0">
          <a:noAutofit/>
        </a:bodyPr>
        <a:lstStyle/>
        <a:p>
          <a:pPr lvl="0" algn="ctr" defTabSz="1244600">
            <a:lnSpc>
              <a:spcPct val="90000"/>
            </a:lnSpc>
            <a:spcBef>
              <a:spcPct val="0"/>
            </a:spcBef>
            <a:spcAft>
              <a:spcPct val="35000"/>
            </a:spcAft>
          </a:pPr>
          <a:r>
            <a:rPr lang="es-ES" sz="2800" b="1" kern="1200">
              <a:latin typeface="Times New Roman" pitchFamily="18" charset="0"/>
              <a:cs typeface="Times New Roman" pitchFamily="18" charset="0"/>
            </a:rPr>
            <a:t>54,6</a:t>
          </a:r>
        </a:p>
      </dsp:txBody>
      <dsp:txXfrm>
        <a:off x="1458200" y="442738"/>
        <a:ext cx="992492" cy="959266"/>
      </dsp:txXfrm>
    </dsp:sp>
    <dsp:sp modelId="{DC80E191-7CE5-46CA-8E0A-7CF2983047FC}">
      <dsp:nvSpPr>
        <dsp:cNvPr id="0" name=""/>
        <dsp:cNvSpPr/>
      </dsp:nvSpPr>
      <dsp:spPr>
        <a:xfrm>
          <a:off x="2667801" y="0"/>
          <a:ext cx="1240615" cy="147579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latin typeface="Times New Roman" pitchFamily="18" charset="0"/>
              <a:cs typeface="Times New Roman" pitchFamily="18" charset="0"/>
            </a:rPr>
            <a:t>Índice de instituciones</a:t>
          </a:r>
        </a:p>
      </dsp:txBody>
      <dsp:txXfrm>
        <a:off x="2667801" y="0"/>
        <a:ext cx="1240615" cy="442738"/>
      </dsp:txXfrm>
    </dsp:sp>
    <dsp:sp modelId="{EDACE96F-9FF7-4FAF-836B-1ABB6314EF99}">
      <dsp:nvSpPr>
        <dsp:cNvPr id="0" name=""/>
        <dsp:cNvSpPr/>
      </dsp:nvSpPr>
      <dsp:spPr>
        <a:xfrm>
          <a:off x="2791862" y="442738"/>
          <a:ext cx="992492" cy="959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53340" rIns="71120" bIns="53340" numCol="1" spcCol="1270" anchor="ctr" anchorCtr="0">
          <a:noAutofit/>
        </a:bodyPr>
        <a:lstStyle/>
        <a:p>
          <a:pPr lvl="0" algn="ctr" defTabSz="1244600">
            <a:lnSpc>
              <a:spcPct val="90000"/>
            </a:lnSpc>
            <a:spcBef>
              <a:spcPct val="0"/>
            </a:spcBef>
            <a:spcAft>
              <a:spcPct val="35000"/>
            </a:spcAft>
          </a:pPr>
          <a:r>
            <a:rPr lang="es-ES" sz="2800" b="1" kern="1200">
              <a:latin typeface="Times New Roman" pitchFamily="18" charset="0"/>
              <a:cs typeface="Times New Roman" pitchFamily="18" charset="0"/>
            </a:rPr>
            <a:t>52,7</a:t>
          </a:r>
        </a:p>
      </dsp:txBody>
      <dsp:txXfrm>
        <a:off x="2791862" y="442738"/>
        <a:ext cx="992492" cy="95926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0.20804</cdr:x>
      <cdr:y>0.52167</cdr:y>
    </cdr:from>
    <cdr:to>
      <cdr:x>0.31064</cdr:x>
      <cdr:y>0.60503</cdr:y>
    </cdr:to>
    <cdr:sp macro="" textlink="">
      <cdr:nvSpPr>
        <cdr:cNvPr id="2" name="1 Rectángulo redondeado"/>
        <cdr:cNvSpPr/>
      </cdr:nvSpPr>
      <cdr:spPr>
        <a:xfrm xmlns:a="http://schemas.openxmlformats.org/drawingml/2006/main">
          <a:off x="1160891" y="1542553"/>
          <a:ext cx="572494" cy="246491"/>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s-CR"/>
            <a:t>26,3</a:t>
          </a:r>
        </a:p>
      </cdr:txBody>
    </cdr:sp>
  </cdr:relSizeAnchor>
  <cdr:relSizeAnchor xmlns:cdr="http://schemas.openxmlformats.org/drawingml/2006/chartDrawing">
    <cdr:from>
      <cdr:x>0.49019</cdr:x>
      <cdr:y>0.51898</cdr:y>
    </cdr:from>
    <cdr:to>
      <cdr:x>0.59279</cdr:x>
      <cdr:y>0.60234</cdr:y>
    </cdr:to>
    <cdr:sp macro="" textlink="">
      <cdr:nvSpPr>
        <cdr:cNvPr id="3" name="2 Rectángulo redondeado"/>
        <cdr:cNvSpPr/>
      </cdr:nvSpPr>
      <cdr:spPr>
        <a:xfrm xmlns:a="http://schemas.openxmlformats.org/drawingml/2006/main">
          <a:off x="2735251" y="1534602"/>
          <a:ext cx="572494" cy="246491"/>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s-CR"/>
            <a:t>26,6</a:t>
          </a:r>
        </a:p>
      </cdr:txBody>
    </cdr:sp>
  </cdr:relSizeAnchor>
  <cdr:relSizeAnchor xmlns:cdr="http://schemas.openxmlformats.org/drawingml/2006/chartDrawing">
    <cdr:from>
      <cdr:x>0.77803</cdr:x>
      <cdr:y>0.50016</cdr:y>
    </cdr:from>
    <cdr:to>
      <cdr:x>0.88063</cdr:x>
      <cdr:y>0.58352</cdr:y>
    </cdr:to>
    <cdr:sp macro="" textlink="">
      <cdr:nvSpPr>
        <cdr:cNvPr id="4" name="1 Rectángulo redondeado"/>
        <cdr:cNvSpPr/>
      </cdr:nvSpPr>
      <cdr:spPr>
        <a:xfrm xmlns:a="http://schemas.openxmlformats.org/drawingml/2006/main">
          <a:off x="4341413" y="1478942"/>
          <a:ext cx="572494" cy="246491"/>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a:t>30,1</a:t>
          </a:r>
        </a:p>
      </cdr:txBody>
    </cdr:sp>
  </cdr:relSizeAnchor>
  <cdr:relSizeAnchor xmlns:cdr="http://schemas.openxmlformats.org/drawingml/2006/chartDrawing">
    <cdr:from>
      <cdr:x>0.75666</cdr:x>
      <cdr:y>0.06723</cdr:y>
    </cdr:from>
    <cdr:to>
      <cdr:x>0.77518</cdr:x>
      <cdr:y>0.10487</cdr:y>
    </cdr:to>
    <cdr:sp macro="" textlink="">
      <cdr:nvSpPr>
        <cdr:cNvPr id="6" name="5 Rectángulo"/>
        <cdr:cNvSpPr/>
      </cdr:nvSpPr>
      <cdr:spPr>
        <a:xfrm xmlns:a="http://schemas.openxmlformats.org/drawingml/2006/main">
          <a:off x="4222143" y="198783"/>
          <a:ext cx="103367" cy="111318"/>
        </a:xfrm>
        <a:prstGeom xmlns:a="http://schemas.openxmlformats.org/drawingml/2006/main" prst="rect">
          <a:avLst/>
        </a:prstGeom>
        <a:solidFill xmlns:a="http://schemas.openxmlformats.org/drawingml/2006/main">
          <a:schemeClr val="bg1">
            <a:lumMod val="65000"/>
          </a:schemeClr>
        </a:solidFill>
        <a:ln xmlns:a="http://schemas.openxmlformats.org/drawingml/2006/main" w="12700">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CR"/>
        </a:p>
      </cdr:txBody>
    </cdr:sp>
  </cdr:relSizeAnchor>
  <cdr:relSizeAnchor xmlns:cdr="http://schemas.openxmlformats.org/drawingml/2006/chartDrawing">
    <cdr:from>
      <cdr:x>0.76521</cdr:x>
      <cdr:y>0.044</cdr:y>
    </cdr:from>
    <cdr:to>
      <cdr:x>0.97468</cdr:x>
      <cdr:y>0.13347</cdr:y>
    </cdr:to>
    <cdr:sp macro="" textlink="">
      <cdr:nvSpPr>
        <cdr:cNvPr id="7" name="6 CuadroTexto"/>
        <cdr:cNvSpPr txBox="1"/>
      </cdr:nvSpPr>
      <cdr:spPr>
        <a:xfrm xmlns:a="http://schemas.openxmlformats.org/drawingml/2006/main">
          <a:off x="4269850" y="130113"/>
          <a:ext cx="1168841" cy="264560"/>
        </a:xfrm>
        <a:prstGeom xmlns:a="http://schemas.openxmlformats.org/drawingml/2006/main" prst="rect">
          <a:avLst/>
        </a:prstGeom>
      </cdr:spPr>
      <cdr:txBody>
        <a:bodyPr xmlns:a="http://schemas.openxmlformats.org/drawingml/2006/main" vertOverflow="clip" wrap="square" rtlCol="0">
          <a:spAutoFit/>
        </a:bodyPr>
        <a:lstStyle xmlns:a="http://schemas.openxmlformats.org/drawingml/2006/main"/>
        <a:p xmlns:a="http://schemas.openxmlformats.org/drawingml/2006/main">
          <a:r>
            <a:rPr lang="es-CR" sz="1100"/>
            <a:t>Margen de Error</a:t>
          </a:r>
        </a:p>
      </cdr:txBody>
    </cdr:sp>
  </cdr:relSizeAnchor>
</c:userShapes>
</file>

<file path=word/drawings/drawing2.xml><?xml version="1.0" encoding="utf-8"?>
<c:userShapes xmlns:c="http://schemas.openxmlformats.org/drawingml/2006/chart">
  <cdr:relSizeAnchor xmlns:cdr="http://schemas.openxmlformats.org/drawingml/2006/chartDrawing">
    <cdr:from>
      <cdr:x>0.15047</cdr:x>
      <cdr:y>0.29022</cdr:y>
    </cdr:from>
    <cdr:to>
      <cdr:x>0.24986</cdr:x>
      <cdr:y>0.38801</cdr:y>
    </cdr:to>
    <cdr:sp macro="" textlink="">
      <cdr:nvSpPr>
        <cdr:cNvPr id="8" name="1 Rectángulo redondeado"/>
        <cdr:cNvSpPr/>
      </cdr:nvSpPr>
      <cdr:spPr>
        <a:xfrm xmlns:a="http://schemas.openxmlformats.org/drawingml/2006/main">
          <a:off x="866693" y="731520"/>
          <a:ext cx="572508" cy="246492"/>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a:t>46,2</a:t>
          </a:r>
        </a:p>
      </cdr:txBody>
    </cdr:sp>
  </cdr:relSizeAnchor>
  <cdr:relSizeAnchor xmlns:cdr="http://schemas.openxmlformats.org/drawingml/2006/chartDrawing">
    <cdr:from>
      <cdr:x>0.32578</cdr:x>
      <cdr:y>0.24606</cdr:y>
    </cdr:from>
    <cdr:to>
      <cdr:x>0.42518</cdr:x>
      <cdr:y>0.34385</cdr:y>
    </cdr:to>
    <cdr:sp macro="" textlink="">
      <cdr:nvSpPr>
        <cdr:cNvPr id="9" name="1 Rectángulo redondeado"/>
        <cdr:cNvSpPr/>
      </cdr:nvSpPr>
      <cdr:spPr>
        <a:xfrm xmlns:a="http://schemas.openxmlformats.org/drawingml/2006/main">
          <a:off x="1876507" y="620201"/>
          <a:ext cx="572508" cy="246492"/>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a:t>52,8</a:t>
          </a:r>
        </a:p>
      </cdr:txBody>
    </cdr:sp>
  </cdr:relSizeAnchor>
  <cdr:relSizeAnchor xmlns:cdr="http://schemas.openxmlformats.org/drawingml/2006/chartDrawing">
    <cdr:from>
      <cdr:x>0.4942</cdr:x>
      <cdr:y>0.23659</cdr:y>
    </cdr:from>
    <cdr:to>
      <cdr:x>0.59359</cdr:x>
      <cdr:y>0.33439</cdr:y>
    </cdr:to>
    <cdr:sp macro="" textlink="">
      <cdr:nvSpPr>
        <cdr:cNvPr id="10" name="1 Rectángulo redondeado"/>
        <cdr:cNvSpPr/>
      </cdr:nvSpPr>
      <cdr:spPr>
        <a:xfrm xmlns:a="http://schemas.openxmlformats.org/drawingml/2006/main">
          <a:off x="2846566" y="596347"/>
          <a:ext cx="572508" cy="246492"/>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a:t>54,2</a:t>
          </a:r>
        </a:p>
      </cdr:txBody>
    </cdr:sp>
  </cdr:relSizeAnchor>
  <cdr:relSizeAnchor xmlns:cdr="http://schemas.openxmlformats.org/drawingml/2006/chartDrawing">
    <cdr:from>
      <cdr:x>0.67089</cdr:x>
      <cdr:y>0.18612</cdr:y>
    </cdr:from>
    <cdr:to>
      <cdr:x>0.77028</cdr:x>
      <cdr:y>0.28391</cdr:y>
    </cdr:to>
    <cdr:sp macro="" textlink="">
      <cdr:nvSpPr>
        <cdr:cNvPr id="11" name="1 Rectángulo redondeado"/>
        <cdr:cNvSpPr/>
      </cdr:nvSpPr>
      <cdr:spPr>
        <a:xfrm xmlns:a="http://schemas.openxmlformats.org/drawingml/2006/main">
          <a:off x="3864333" y="469127"/>
          <a:ext cx="572508" cy="246492"/>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a:t>62,6</a:t>
          </a:r>
        </a:p>
      </cdr:txBody>
    </cdr:sp>
  </cdr:relSizeAnchor>
  <cdr:relSizeAnchor xmlns:cdr="http://schemas.openxmlformats.org/drawingml/2006/chartDrawing">
    <cdr:from>
      <cdr:x>0.83516</cdr:x>
      <cdr:y>0.16404</cdr:y>
    </cdr:from>
    <cdr:to>
      <cdr:x>0.93456</cdr:x>
      <cdr:y>0.26183</cdr:y>
    </cdr:to>
    <cdr:sp macro="" textlink="">
      <cdr:nvSpPr>
        <cdr:cNvPr id="12" name="1 Rectángulo redondeado"/>
        <cdr:cNvSpPr/>
      </cdr:nvSpPr>
      <cdr:spPr>
        <a:xfrm xmlns:a="http://schemas.openxmlformats.org/drawingml/2006/main">
          <a:off x="4810539" y="413468"/>
          <a:ext cx="572508" cy="246492"/>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a:t>65,2</a:t>
          </a:r>
        </a:p>
      </cdr:txBody>
    </cdr:sp>
  </cdr:relSizeAnchor>
  <cdr:relSizeAnchor xmlns:cdr="http://schemas.openxmlformats.org/drawingml/2006/chartDrawing">
    <cdr:from>
      <cdr:x>0.127</cdr:x>
      <cdr:y>0.03786</cdr:y>
    </cdr:from>
    <cdr:to>
      <cdr:x>0.3382</cdr:x>
      <cdr:y>0.12417</cdr:y>
    </cdr:to>
    <cdr:grpSp>
      <cdr:nvGrpSpPr>
        <cdr:cNvPr id="16" name="15 Grupo"/>
        <cdr:cNvGrpSpPr/>
      </cdr:nvGrpSpPr>
      <cdr:grpSpPr>
        <a:xfrm xmlns:a="http://schemas.openxmlformats.org/drawingml/2006/main">
          <a:off x="678596" y="90010"/>
          <a:ext cx="1128500" cy="205197"/>
          <a:chOff x="667910" y="95417"/>
          <a:chExt cx="1216551" cy="217580"/>
        </a:xfrm>
      </cdr:grpSpPr>
      <cdr:sp macro="" textlink="">
        <cdr:nvSpPr>
          <cdr:cNvPr id="14" name="2 Rectángulo"/>
          <cdr:cNvSpPr/>
        </cdr:nvSpPr>
        <cdr:spPr>
          <a:xfrm xmlns:a="http://schemas.openxmlformats.org/drawingml/2006/main">
            <a:off x="667910" y="160048"/>
            <a:ext cx="103341" cy="85423"/>
          </a:xfrm>
          <a:prstGeom xmlns:a="http://schemas.openxmlformats.org/drawingml/2006/main" prst="rect">
            <a:avLst/>
          </a:prstGeom>
          <a:solidFill xmlns:a="http://schemas.openxmlformats.org/drawingml/2006/main">
            <a:sysClr val="window" lastClr="FFFFFF">
              <a:lumMod val="65000"/>
            </a:sysClr>
          </a:solidFill>
          <a:ln xmlns:a="http://schemas.openxmlformats.org/drawingml/2006/main" w="127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s-CR"/>
          </a:p>
        </cdr:txBody>
      </cdr:sp>
      <cdr:sp macro="" textlink="">
        <cdr:nvSpPr>
          <cdr:cNvPr id="15" name="3 CuadroTexto"/>
          <cdr:cNvSpPr txBox="1"/>
        </cdr:nvSpPr>
        <cdr:spPr>
          <a:xfrm xmlns:a="http://schemas.openxmlformats.org/drawingml/2006/main">
            <a:off x="715619" y="95417"/>
            <a:ext cx="1168842" cy="217580"/>
          </a:xfrm>
          <a:prstGeom xmlns:a="http://schemas.openxmlformats.org/drawingml/2006/main" prst="rect">
            <a:avLst/>
          </a:prstGeom>
        </cdr:spPr>
        <cdr:txBody>
          <a:bodyPr xmlns:a="http://schemas.openxmlformats.org/drawingml/2006/main" wrap="square" rtlCol="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t>Confianza 95%</a:t>
            </a:r>
          </a:p>
        </cdr:txBody>
      </cdr:sp>
    </cdr:grp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2435</Words>
  <Characters>13394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gcontreras</dc:creator>
  <cp:lastModifiedBy>gcontreras</cp:lastModifiedBy>
  <cp:revision>9</cp:revision>
  <dcterms:created xsi:type="dcterms:W3CDTF">2015-06-23T16:17:00Z</dcterms:created>
  <dcterms:modified xsi:type="dcterms:W3CDTF">2015-06-24T17:20:00Z</dcterms:modified>
</cp:coreProperties>
</file>