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F4" w:rsidRPr="00C06FA9" w:rsidRDefault="009151D4" w:rsidP="00A606F4">
      <w:pPr>
        <w:tabs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6FA9">
        <w:rPr>
          <w:rFonts w:ascii="Times New Roman" w:hAnsi="Times New Roman" w:cs="Times New Roman"/>
          <w:sz w:val="24"/>
          <w:szCs w:val="24"/>
        </w:rPr>
        <w:t>27</w:t>
      </w:r>
      <w:r w:rsidR="00A606F4" w:rsidRPr="00C06FA9">
        <w:rPr>
          <w:rFonts w:ascii="Times New Roman" w:hAnsi="Times New Roman" w:cs="Times New Roman"/>
          <w:sz w:val="24"/>
          <w:szCs w:val="24"/>
        </w:rPr>
        <w:t xml:space="preserve"> de octubre del 2014</w:t>
      </w:r>
    </w:p>
    <w:p w:rsidR="00A606F4" w:rsidRPr="00C06FA9" w:rsidRDefault="00A606F4" w:rsidP="00A606F4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A9">
        <w:rPr>
          <w:rFonts w:ascii="Times New Roman" w:hAnsi="Times New Roman" w:cs="Times New Roman"/>
          <w:b/>
          <w:sz w:val="24"/>
          <w:szCs w:val="24"/>
        </w:rPr>
        <w:t>CIRCULAR OAICE-DG-</w:t>
      </w:r>
      <w:r w:rsidR="00025AB8" w:rsidRPr="00C06FA9">
        <w:rPr>
          <w:rFonts w:ascii="Times New Roman" w:hAnsi="Times New Roman" w:cs="Times New Roman"/>
          <w:b/>
          <w:sz w:val="24"/>
          <w:szCs w:val="24"/>
        </w:rPr>
        <w:t>10-</w:t>
      </w:r>
      <w:r w:rsidRPr="00C06FA9">
        <w:rPr>
          <w:rFonts w:ascii="Times New Roman" w:hAnsi="Times New Roman" w:cs="Times New Roman"/>
          <w:b/>
          <w:sz w:val="24"/>
          <w:szCs w:val="24"/>
        </w:rPr>
        <w:t>106-2014</w:t>
      </w:r>
    </w:p>
    <w:p w:rsidR="00A606F4" w:rsidRPr="00125C6C" w:rsidRDefault="00A606F4" w:rsidP="00A606F4">
      <w:pPr>
        <w:tabs>
          <w:tab w:val="left" w:pos="4253"/>
        </w:tabs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A606F4" w:rsidRPr="00C06FA9" w:rsidRDefault="009B31B3" w:rsidP="009B3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A9">
        <w:rPr>
          <w:rFonts w:ascii="Times New Roman" w:hAnsi="Times New Roman" w:cs="Times New Roman"/>
          <w:b/>
          <w:sz w:val="24"/>
          <w:szCs w:val="24"/>
        </w:rPr>
        <w:t>A LAS AUTORIDADES UNIVERSITARIAS</w:t>
      </w:r>
    </w:p>
    <w:p w:rsidR="009B31B3" w:rsidRPr="00775B08" w:rsidRDefault="009B31B3" w:rsidP="009B31B3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A606F4" w:rsidRPr="0072151C" w:rsidRDefault="00A606F4" w:rsidP="00A606F4">
      <w:p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72151C">
        <w:rPr>
          <w:rFonts w:ascii="Arial" w:hAnsi="Arial" w:cs="Arial"/>
          <w:lang w:val="es-ES"/>
        </w:rPr>
        <w:t>La OAICE informa a las Unidades Académicas, Sedes, Centros e Institu</w:t>
      </w:r>
      <w:r w:rsidR="00125C6C" w:rsidRPr="0072151C">
        <w:rPr>
          <w:rFonts w:ascii="Arial" w:hAnsi="Arial" w:cs="Arial"/>
          <w:lang w:val="es-ES"/>
        </w:rPr>
        <w:t>tos de Investigación, que tienen interés</w:t>
      </w:r>
      <w:r w:rsidRPr="0072151C">
        <w:rPr>
          <w:rFonts w:ascii="Arial" w:hAnsi="Arial" w:cs="Arial"/>
          <w:lang w:val="es-ES"/>
        </w:rPr>
        <w:t xml:space="preserve"> en la gestión de convenios específicos de cooperación académica con universidades extranjeras, lo siguiente:</w:t>
      </w:r>
    </w:p>
    <w:p w:rsidR="00A606F4" w:rsidRPr="0072151C" w:rsidRDefault="00A606F4" w:rsidP="00A606F4">
      <w:pPr>
        <w:tabs>
          <w:tab w:val="left" w:pos="2120"/>
        </w:tabs>
        <w:jc w:val="both"/>
        <w:rPr>
          <w:rFonts w:ascii="Arial" w:hAnsi="Arial" w:cs="Arial"/>
          <w:lang w:val="es-ES"/>
        </w:rPr>
      </w:pPr>
    </w:p>
    <w:p w:rsidR="00A606F4" w:rsidRPr="0072151C" w:rsidRDefault="009151D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72151C">
        <w:rPr>
          <w:rFonts w:ascii="Arial" w:eastAsia="Times New Roman" w:hAnsi="Arial" w:cs="Arial"/>
          <w:lang w:val="es-ES" w:eastAsia="es-ES"/>
        </w:rPr>
        <w:t xml:space="preserve">Para </w:t>
      </w:r>
      <w:r w:rsidR="00FD0508" w:rsidRPr="0072151C">
        <w:rPr>
          <w:rFonts w:ascii="Arial" w:eastAsia="Times New Roman" w:hAnsi="Arial" w:cs="Arial"/>
          <w:lang w:val="es-ES" w:eastAsia="es-ES"/>
        </w:rPr>
        <w:t>concretar</w:t>
      </w:r>
      <w:r w:rsidR="00A606F4" w:rsidRPr="0072151C">
        <w:rPr>
          <w:rFonts w:ascii="Arial" w:eastAsia="Times New Roman" w:hAnsi="Arial" w:cs="Arial"/>
          <w:lang w:val="es-ES" w:eastAsia="es-ES"/>
        </w:rPr>
        <w:t xml:space="preserve"> programas de movilidad estudiantil (estudios semestrales o programas especiales de estudio que promueven la movilidad de grupos de estudiantes extranjeros a la UCR o de estudiantes de UCR </w:t>
      </w:r>
      <w:r w:rsidR="005B2DF6">
        <w:rPr>
          <w:rFonts w:ascii="Arial" w:eastAsia="Times New Roman" w:hAnsi="Arial" w:cs="Arial"/>
          <w:lang w:val="es-ES" w:eastAsia="es-ES"/>
        </w:rPr>
        <w:t>a universidades en el exterior),</w:t>
      </w:r>
      <w:r w:rsidR="00A606F4" w:rsidRPr="0072151C">
        <w:rPr>
          <w:rFonts w:ascii="Arial" w:eastAsia="Times New Roman" w:hAnsi="Arial" w:cs="Arial"/>
          <w:lang w:val="es-ES" w:eastAsia="es-ES"/>
        </w:rPr>
        <w:t xml:space="preserve"> así como movilidad docente y proyectos de investigac</w:t>
      </w:r>
      <w:r w:rsidRPr="0072151C">
        <w:rPr>
          <w:rFonts w:ascii="Arial" w:eastAsia="Times New Roman" w:hAnsi="Arial" w:cs="Arial"/>
          <w:lang w:val="es-ES" w:eastAsia="es-ES"/>
        </w:rPr>
        <w:t>ión conjunta con universidades e</w:t>
      </w:r>
      <w:r w:rsidR="00A606F4" w:rsidRPr="0072151C">
        <w:rPr>
          <w:rFonts w:ascii="Arial" w:eastAsia="Times New Roman" w:hAnsi="Arial" w:cs="Arial"/>
          <w:lang w:val="es-ES" w:eastAsia="es-ES"/>
        </w:rPr>
        <w:t xml:space="preserve"> instituciones extranjeras, se requi</w:t>
      </w:r>
      <w:r w:rsidR="00125C6C" w:rsidRPr="0072151C">
        <w:rPr>
          <w:rFonts w:ascii="Arial" w:eastAsia="Times New Roman" w:hAnsi="Arial" w:cs="Arial"/>
          <w:lang w:val="es-ES" w:eastAsia="es-ES"/>
        </w:rPr>
        <w:t xml:space="preserve">ere </w:t>
      </w:r>
      <w:r w:rsidR="0021386E" w:rsidRPr="0072151C">
        <w:rPr>
          <w:rFonts w:ascii="Arial" w:eastAsia="Times New Roman" w:hAnsi="Arial" w:cs="Arial"/>
          <w:lang w:val="es-ES" w:eastAsia="es-ES"/>
        </w:rPr>
        <w:t>previo a su realización</w:t>
      </w:r>
      <w:r w:rsidRPr="0072151C">
        <w:rPr>
          <w:rFonts w:ascii="Arial" w:eastAsia="Times New Roman" w:hAnsi="Arial" w:cs="Arial"/>
          <w:lang w:val="es-ES" w:eastAsia="es-ES"/>
        </w:rPr>
        <w:t xml:space="preserve"> </w:t>
      </w:r>
      <w:r w:rsidR="00125C6C" w:rsidRPr="0072151C">
        <w:rPr>
          <w:rFonts w:ascii="Arial" w:eastAsia="Times New Roman" w:hAnsi="Arial" w:cs="Arial"/>
          <w:lang w:val="es-ES" w:eastAsia="es-ES"/>
        </w:rPr>
        <w:t>gestionar</w:t>
      </w:r>
      <w:r w:rsidR="00A606F4" w:rsidRPr="0072151C">
        <w:rPr>
          <w:rFonts w:ascii="Arial" w:eastAsia="Times New Roman" w:hAnsi="Arial" w:cs="Arial"/>
          <w:lang w:val="es-ES" w:eastAsia="es-ES"/>
        </w:rPr>
        <w:t xml:space="preserve"> un convenio, según lo establecido en las </w:t>
      </w:r>
      <w:r w:rsidR="00A606F4" w:rsidRPr="0072151C">
        <w:rPr>
          <w:rFonts w:ascii="Arial" w:eastAsia="Times New Roman" w:hAnsi="Arial" w:cs="Arial"/>
          <w:lang w:eastAsia="es-ES"/>
        </w:rPr>
        <w:t>“</w:t>
      </w:r>
      <w:r w:rsidR="00A606F4" w:rsidRPr="0072151C">
        <w:rPr>
          <w:rFonts w:ascii="Arial" w:eastAsia="Times New Roman" w:hAnsi="Arial" w:cs="Arial"/>
          <w:i/>
          <w:lang w:val="es-ES" w:eastAsia="es-ES"/>
        </w:rPr>
        <w:t>Normas Generales para la Firma y Divulgación de Convenios y Acuerdos con otras Instituciones</w:t>
      </w:r>
      <w:r w:rsidR="00A606F4" w:rsidRPr="0072151C">
        <w:rPr>
          <w:rFonts w:ascii="Arial" w:eastAsia="Times New Roman" w:hAnsi="Arial" w:cs="Arial"/>
          <w:lang w:val="es-ES" w:eastAsia="es-ES"/>
        </w:rPr>
        <w:t>”</w:t>
      </w:r>
      <w:r w:rsidR="00A606F4" w:rsidRPr="0072151C">
        <w:rPr>
          <w:rFonts w:ascii="Arial" w:eastAsia="Times New Roman" w:hAnsi="Arial" w:cs="Arial"/>
          <w:vertAlign w:val="superscript"/>
          <w:lang w:val="es-ES" w:eastAsia="es-ES"/>
        </w:rPr>
        <w:footnoteReference w:id="1"/>
      </w:r>
      <w:r w:rsidR="00A606F4" w:rsidRPr="0072151C">
        <w:rPr>
          <w:rFonts w:ascii="Arial" w:eastAsia="Times New Roman" w:hAnsi="Arial" w:cs="Arial"/>
          <w:lang w:val="es-ES" w:eastAsia="es-ES"/>
        </w:rPr>
        <w:t>.</w:t>
      </w:r>
    </w:p>
    <w:p w:rsidR="00A606F4" w:rsidRPr="0072151C" w:rsidRDefault="00A606F4" w:rsidP="00A606F4">
      <w:pPr>
        <w:tabs>
          <w:tab w:val="left" w:pos="2120"/>
        </w:tabs>
        <w:jc w:val="both"/>
        <w:rPr>
          <w:rFonts w:ascii="Arial" w:hAnsi="Arial" w:cs="Arial"/>
          <w:lang w:val="es-ES"/>
        </w:rPr>
      </w:pPr>
    </w:p>
    <w:p w:rsidR="00A606F4" w:rsidRPr="0072151C" w:rsidRDefault="00A606F4" w:rsidP="005523E9">
      <w:pPr>
        <w:tabs>
          <w:tab w:val="left" w:pos="2120"/>
        </w:tabs>
        <w:ind w:left="284"/>
        <w:jc w:val="both"/>
        <w:rPr>
          <w:rFonts w:ascii="Arial" w:hAnsi="Arial" w:cs="Arial"/>
          <w:i/>
          <w:lang w:val="es-ES"/>
        </w:rPr>
      </w:pPr>
      <w:r w:rsidRPr="0072151C">
        <w:rPr>
          <w:rFonts w:ascii="Arial" w:hAnsi="Arial" w:cs="Arial"/>
          <w:i/>
          <w:lang w:val="es-ES"/>
        </w:rPr>
        <w:t xml:space="preserve">Art. 1: “Toda actividad mediante la cual la Universidad de Costa Rica adquiera derechos, obligaciones o responsabilidades de carácter académico, técnico o de cualquier otra índole, deberá ser formalizada mediante un acuerdo o convenio”. </w:t>
      </w:r>
    </w:p>
    <w:p w:rsidR="00A606F4" w:rsidRPr="0072151C" w:rsidRDefault="00A606F4" w:rsidP="00A606F4">
      <w:pPr>
        <w:tabs>
          <w:tab w:val="left" w:pos="2120"/>
        </w:tabs>
        <w:ind w:left="708"/>
        <w:jc w:val="both"/>
        <w:rPr>
          <w:rFonts w:ascii="Arial" w:hAnsi="Arial" w:cs="Arial"/>
          <w:i/>
          <w:lang w:val="es-ES"/>
        </w:rPr>
      </w:pPr>
    </w:p>
    <w:p w:rsidR="00A606F4" w:rsidRPr="0072151C" w:rsidRDefault="00A606F4" w:rsidP="005523E9">
      <w:pPr>
        <w:tabs>
          <w:tab w:val="left" w:pos="2120"/>
        </w:tabs>
        <w:ind w:left="284"/>
        <w:jc w:val="both"/>
        <w:rPr>
          <w:rFonts w:ascii="Arial" w:hAnsi="Arial" w:cs="Arial"/>
          <w:i/>
          <w:lang w:val="es-ES"/>
        </w:rPr>
      </w:pPr>
      <w:r w:rsidRPr="0072151C">
        <w:rPr>
          <w:rFonts w:ascii="Arial" w:hAnsi="Arial" w:cs="Arial"/>
          <w:i/>
          <w:lang w:val="es-ES"/>
        </w:rPr>
        <w:t>Art. 23: “Toda actividad de carácter académico que realice la Universidad de Costa Rica de común acuerdo con universidades o instituciones del extranjero, deberá formalizarse mediante la firma de un acuerdo o convenio. De igual manera, todas las actividades de carácter académico que se realicen en la Universidad de Costa Rica y en las que haya participación de una universidad o institución extranjera, deberán estar enmarcadas en convenios o acuerdos en los que se establezcan los fines de cada actividad y mediante los cuales se demuestre el beneficio que derivará para la Institución”.</w:t>
      </w:r>
    </w:p>
    <w:p w:rsidR="00A606F4" w:rsidRPr="0072151C" w:rsidRDefault="00A606F4" w:rsidP="00A606F4">
      <w:pPr>
        <w:tabs>
          <w:tab w:val="left" w:pos="2120"/>
        </w:tabs>
        <w:ind w:left="708"/>
        <w:jc w:val="both"/>
        <w:rPr>
          <w:rFonts w:ascii="Arial" w:hAnsi="Arial" w:cs="Arial"/>
          <w:i/>
          <w:lang w:val="es-ES"/>
        </w:rPr>
      </w:pPr>
    </w:p>
    <w:p w:rsidR="00A606F4" w:rsidRPr="0072151C" w:rsidRDefault="00A606F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72151C">
        <w:rPr>
          <w:rFonts w:ascii="Arial" w:eastAsia="Times New Roman" w:hAnsi="Arial" w:cs="Arial"/>
          <w:lang w:val="es-ES" w:eastAsia="es-ES"/>
        </w:rPr>
        <w:t>La OAICE es la instancia competente e</w:t>
      </w:r>
      <w:r w:rsidR="003F00A5" w:rsidRPr="0072151C">
        <w:rPr>
          <w:rFonts w:ascii="Arial" w:eastAsia="Times New Roman" w:hAnsi="Arial" w:cs="Arial"/>
          <w:lang w:val="es-ES" w:eastAsia="es-ES"/>
        </w:rPr>
        <w:t xml:space="preserve">n la Institución para gestionar </w:t>
      </w:r>
      <w:r w:rsidRPr="0072151C">
        <w:rPr>
          <w:rFonts w:ascii="Arial" w:eastAsia="Times New Roman" w:hAnsi="Arial" w:cs="Arial"/>
          <w:lang w:val="es-ES" w:eastAsia="es-ES"/>
        </w:rPr>
        <w:t>los convenios con universidades extranjeras.</w:t>
      </w:r>
    </w:p>
    <w:p w:rsidR="00A606F4" w:rsidRPr="0072151C" w:rsidRDefault="00A606F4" w:rsidP="00A606F4">
      <w:pPr>
        <w:tabs>
          <w:tab w:val="left" w:pos="2120"/>
        </w:tabs>
        <w:ind w:left="708"/>
        <w:jc w:val="both"/>
        <w:rPr>
          <w:rFonts w:ascii="Arial" w:hAnsi="Arial" w:cs="Arial"/>
          <w:i/>
          <w:lang w:val="es-ES"/>
        </w:rPr>
      </w:pPr>
    </w:p>
    <w:p w:rsidR="00A606F4" w:rsidRPr="0072151C" w:rsidRDefault="00A606F4" w:rsidP="005523E9">
      <w:pPr>
        <w:tabs>
          <w:tab w:val="left" w:pos="2120"/>
        </w:tabs>
        <w:ind w:left="284"/>
        <w:jc w:val="both"/>
        <w:rPr>
          <w:rFonts w:ascii="Arial" w:hAnsi="Arial" w:cs="Arial"/>
          <w:i/>
          <w:lang w:val="es-ES"/>
        </w:rPr>
      </w:pPr>
      <w:r w:rsidRPr="0072151C">
        <w:rPr>
          <w:rFonts w:ascii="Arial" w:hAnsi="Arial" w:cs="Arial"/>
          <w:i/>
          <w:lang w:val="es-ES"/>
        </w:rPr>
        <w:t>Art. 4: “Como requisito previo a la firma, todos los convenios y acuerdos deberán ser objeto de consulta a las unidades académicas, cuando corresponda, y de revisión por parte de las oficinas técnicas competentes. En el caso de los convenios y acuerdos con universidades o instituciones del extranjero, esa revisión compete llevarla a cabo en primera instancia a la Oficina de Asuntos Internacionales y Cooperación Externa”.</w:t>
      </w:r>
    </w:p>
    <w:p w:rsidR="00A606F4" w:rsidRPr="0072151C" w:rsidRDefault="00A606F4" w:rsidP="00A606F4">
      <w:pPr>
        <w:tabs>
          <w:tab w:val="left" w:pos="2120"/>
        </w:tabs>
        <w:ind w:left="708"/>
        <w:jc w:val="both"/>
        <w:rPr>
          <w:rFonts w:ascii="Arial" w:hAnsi="Arial" w:cs="Arial"/>
          <w:i/>
          <w:lang w:val="es-ES"/>
        </w:rPr>
      </w:pPr>
    </w:p>
    <w:p w:rsidR="00A606F4" w:rsidRPr="0072151C" w:rsidRDefault="007E3A10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72151C">
        <w:rPr>
          <w:rFonts w:ascii="Arial" w:eastAsia="Times New Roman" w:hAnsi="Arial" w:cs="Arial"/>
          <w:lang w:val="es-ES" w:eastAsia="es-ES"/>
        </w:rPr>
        <w:t xml:space="preserve">Los convenios </w:t>
      </w:r>
      <w:r w:rsidR="00A606F4" w:rsidRPr="0072151C">
        <w:rPr>
          <w:rFonts w:ascii="Arial" w:eastAsia="Times New Roman" w:hAnsi="Arial" w:cs="Arial"/>
          <w:lang w:val="es-ES" w:eastAsia="es-ES"/>
        </w:rPr>
        <w:t>ser</w:t>
      </w:r>
      <w:r w:rsidRPr="0072151C">
        <w:rPr>
          <w:rFonts w:ascii="Arial" w:eastAsia="Times New Roman" w:hAnsi="Arial" w:cs="Arial"/>
          <w:lang w:val="es-ES" w:eastAsia="es-ES"/>
        </w:rPr>
        <w:t>án</w:t>
      </w:r>
      <w:r w:rsidR="00A606F4" w:rsidRPr="0072151C">
        <w:rPr>
          <w:rFonts w:ascii="Arial" w:eastAsia="Times New Roman" w:hAnsi="Arial" w:cs="Arial"/>
          <w:lang w:val="es-ES" w:eastAsia="es-ES"/>
        </w:rPr>
        <w:t xml:space="preserve"> firmados por el rector</w:t>
      </w:r>
      <w:r w:rsidR="001E5015">
        <w:rPr>
          <w:rFonts w:ascii="Arial" w:eastAsia="Times New Roman" w:hAnsi="Arial" w:cs="Arial"/>
          <w:lang w:val="es-ES" w:eastAsia="es-ES"/>
        </w:rPr>
        <w:t xml:space="preserve"> (a)</w:t>
      </w:r>
      <w:r w:rsidR="00A606F4" w:rsidRPr="0072151C">
        <w:rPr>
          <w:rFonts w:ascii="Arial" w:eastAsia="Times New Roman" w:hAnsi="Arial" w:cs="Arial"/>
          <w:lang w:val="es-ES" w:eastAsia="es-ES"/>
        </w:rPr>
        <w:t xml:space="preserve"> de la Universidad de Costa Rica, según lo estipulado en el artículo 40 inciso a) del Estatuto Orgánico de la Universidad de Costa Rica, </w:t>
      </w:r>
      <w:r w:rsidR="00A606F4" w:rsidRPr="0072151C">
        <w:rPr>
          <w:rFonts w:ascii="Arial" w:eastAsia="Times New Roman" w:hAnsi="Arial" w:cs="Arial"/>
          <w:i/>
          <w:lang w:val="es-ES" w:eastAsia="es-ES"/>
        </w:rPr>
        <w:t>“correspo</w:t>
      </w:r>
      <w:r w:rsidR="003F00A5" w:rsidRPr="0072151C">
        <w:rPr>
          <w:rFonts w:ascii="Arial" w:eastAsia="Times New Roman" w:hAnsi="Arial" w:cs="Arial"/>
          <w:i/>
          <w:lang w:val="es-ES" w:eastAsia="es-ES"/>
        </w:rPr>
        <w:t xml:space="preserve">nde a la figura del Rector (a) </w:t>
      </w:r>
      <w:r w:rsidR="00AE1FCB">
        <w:rPr>
          <w:rFonts w:ascii="Arial" w:eastAsia="Times New Roman" w:hAnsi="Arial" w:cs="Arial"/>
          <w:i/>
          <w:lang w:val="es-ES" w:eastAsia="es-ES"/>
        </w:rPr>
        <w:t>“E</w:t>
      </w:r>
      <w:r w:rsidR="00A606F4" w:rsidRPr="0072151C">
        <w:rPr>
          <w:rFonts w:ascii="Arial" w:eastAsia="Times New Roman" w:hAnsi="Arial" w:cs="Arial"/>
          <w:i/>
          <w:lang w:val="es-ES" w:eastAsia="es-ES"/>
        </w:rPr>
        <w:t>jercer la representación judicial y extrajudicial de la Universidad de Costa Rica”.</w:t>
      </w:r>
    </w:p>
    <w:p w:rsidR="005523E9" w:rsidRPr="0072151C" w:rsidRDefault="005523E9" w:rsidP="005523E9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A606F4" w:rsidRPr="0072151C" w:rsidRDefault="00A606F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72151C">
        <w:rPr>
          <w:rFonts w:ascii="Arial" w:eastAsia="Times New Roman" w:hAnsi="Arial" w:cs="Arial"/>
          <w:lang w:val="es-ES" w:eastAsia="es-ES"/>
        </w:rPr>
        <w:t>Los convenios específicos que involucran actividades de vínculo remunerado con instituciones del exterior, deben ser concordantes con los “</w:t>
      </w:r>
      <w:r w:rsidRPr="0072151C">
        <w:rPr>
          <w:rFonts w:ascii="Arial" w:eastAsia="Times New Roman" w:hAnsi="Arial" w:cs="Arial"/>
          <w:i/>
          <w:lang w:val="es-ES" w:eastAsia="es-ES"/>
        </w:rPr>
        <w:t xml:space="preserve">Lineamientos para la </w:t>
      </w:r>
      <w:r w:rsidRPr="0072151C">
        <w:rPr>
          <w:rFonts w:ascii="Arial" w:eastAsia="Times New Roman" w:hAnsi="Arial" w:cs="Arial"/>
          <w:i/>
          <w:lang w:val="es-ES" w:eastAsia="es-ES"/>
        </w:rPr>
        <w:lastRenderedPageBreak/>
        <w:t>vinculación remunerada de la Universidad de Costa Rica con el Sector Externo</w:t>
      </w:r>
      <w:r w:rsidRPr="0072151C">
        <w:rPr>
          <w:rFonts w:ascii="Arial" w:eastAsia="Times New Roman" w:hAnsi="Arial" w:cs="Arial"/>
          <w:lang w:val="es-ES" w:eastAsia="es-ES"/>
        </w:rPr>
        <w:t>”</w:t>
      </w:r>
      <w:r w:rsidRPr="0072151C">
        <w:rPr>
          <w:rFonts w:ascii="Arial" w:eastAsia="Times New Roman" w:hAnsi="Arial" w:cs="Arial"/>
          <w:vertAlign w:val="superscript"/>
          <w:lang w:val="es-ES" w:eastAsia="es-ES"/>
        </w:rPr>
        <w:footnoteReference w:id="2"/>
      </w:r>
      <w:r w:rsidRPr="0072151C">
        <w:rPr>
          <w:rFonts w:ascii="Arial" w:eastAsia="Times New Roman" w:hAnsi="Arial" w:cs="Arial"/>
          <w:lang w:val="es-ES" w:eastAsia="es-ES"/>
        </w:rPr>
        <w:t>. Por tanto, deben respetar los fines y propósitos de la UCR</w:t>
      </w:r>
      <w:r w:rsidRPr="0072151C">
        <w:rPr>
          <w:rFonts w:ascii="Arial" w:eastAsia="Times New Roman" w:hAnsi="Arial" w:cs="Arial"/>
          <w:vertAlign w:val="superscript"/>
          <w:lang w:val="es-ES" w:eastAsia="es-ES"/>
        </w:rPr>
        <w:footnoteReference w:id="3"/>
      </w:r>
      <w:r w:rsidRPr="0072151C">
        <w:rPr>
          <w:rFonts w:ascii="Arial" w:eastAsia="Times New Roman" w:hAnsi="Arial" w:cs="Arial"/>
          <w:lang w:val="es-ES" w:eastAsia="es-ES"/>
        </w:rPr>
        <w:t xml:space="preserve">, así como enriquecer las labores universitarias fundamentales o </w:t>
      </w:r>
      <w:r w:rsidR="003F00A5" w:rsidRPr="0072151C">
        <w:rPr>
          <w:rFonts w:ascii="Arial" w:eastAsia="Times New Roman" w:hAnsi="Arial" w:cs="Arial"/>
          <w:lang w:val="es-ES" w:eastAsia="es-ES"/>
        </w:rPr>
        <w:t>actividades sustantivas de la I</w:t>
      </w:r>
      <w:r w:rsidRPr="0072151C">
        <w:rPr>
          <w:rFonts w:ascii="Arial" w:eastAsia="Times New Roman" w:hAnsi="Arial" w:cs="Arial"/>
          <w:lang w:val="es-ES" w:eastAsia="es-ES"/>
        </w:rPr>
        <w:t>nstitución.</w:t>
      </w:r>
    </w:p>
    <w:p w:rsidR="00A606F4" w:rsidRPr="0072151C" w:rsidRDefault="00A606F4" w:rsidP="00A606F4">
      <w:pPr>
        <w:jc w:val="both"/>
        <w:rPr>
          <w:rFonts w:ascii="Arial" w:eastAsia="Calibri" w:hAnsi="Arial" w:cs="Arial"/>
        </w:rPr>
      </w:pPr>
    </w:p>
    <w:p w:rsidR="00A606F4" w:rsidRPr="0072151C" w:rsidRDefault="00A606F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eastAsia="Times New Roman" w:hAnsi="Arial" w:cs="Arial"/>
          <w:i/>
          <w:lang w:eastAsia="es-ES"/>
        </w:rPr>
      </w:pPr>
      <w:r w:rsidRPr="0072151C">
        <w:rPr>
          <w:rFonts w:ascii="Arial" w:hAnsi="Arial" w:cs="Arial"/>
          <w:lang w:val="es-ES"/>
        </w:rPr>
        <w:t>Tal como</w:t>
      </w:r>
      <w:r w:rsidRPr="0072151C">
        <w:rPr>
          <w:rFonts w:ascii="Arial" w:eastAsia="Times New Roman" w:hAnsi="Arial" w:cs="Arial"/>
          <w:lang w:val="es-ES" w:eastAsia="es-ES"/>
        </w:rPr>
        <w:t xml:space="preserve"> se indica en el Art. 3.5 de dichos lineamientos, </w:t>
      </w:r>
      <w:r w:rsidRPr="0072151C">
        <w:rPr>
          <w:rFonts w:ascii="Arial" w:eastAsia="Times New Roman" w:hAnsi="Arial" w:cs="Arial"/>
          <w:i/>
          <w:lang w:val="es-ES" w:eastAsia="es-ES"/>
        </w:rPr>
        <w:t>“las actividades de vinculación remunerada con el sector externo que lo requieran se regulan mediante contratos o convenios, para lo que se deberá seguir con las normas y procedimientos que la institución tenga establecido</w:t>
      </w:r>
      <w:r w:rsidR="00C400E7" w:rsidRPr="0072151C">
        <w:rPr>
          <w:rFonts w:ascii="Arial" w:eastAsia="Times New Roman" w:hAnsi="Arial" w:cs="Arial"/>
          <w:i/>
          <w:lang w:val="es-ES" w:eastAsia="es-ES"/>
        </w:rPr>
        <w:t>s</w:t>
      </w:r>
      <w:r w:rsidRPr="0072151C">
        <w:rPr>
          <w:rFonts w:ascii="Arial" w:eastAsia="Times New Roman" w:hAnsi="Arial" w:cs="Arial"/>
          <w:i/>
          <w:lang w:val="es-ES" w:eastAsia="es-ES"/>
        </w:rPr>
        <w:t>”.</w:t>
      </w:r>
    </w:p>
    <w:p w:rsidR="00A606F4" w:rsidRPr="0072151C" w:rsidRDefault="00A606F4" w:rsidP="00A606F4">
      <w:pPr>
        <w:tabs>
          <w:tab w:val="left" w:pos="720"/>
        </w:tabs>
        <w:ind w:left="720"/>
        <w:contextualSpacing/>
        <w:jc w:val="both"/>
        <w:rPr>
          <w:rFonts w:ascii="Arial" w:eastAsia="Times New Roman" w:hAnsi="Arial" w:cs="Arial"/>
          <w:i/>
          <w:lang w:eastAsia="es-ES"/>
        </w:rPr>
      </w:pPr>
    </w:p>
    <w:p w:rsidR="00A606F4" w:rsidRPr="0072151C" w:rsidRDefault="00A606F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lang w:val="es-ES"/>
        </w:rPr>
      </w:pPr>
      <w:r w:rsidRPr="0072151C">
        <w:rPr>
          <w:rFonts w:ascii="Arial" w:hAnsi="Arial" w:cs="Arial"/>
          <w:lang w:val="es-ES"/>
        </w:rPr>
        <w:t>Para la gestión de programas especiales de estudio (ofrecidos en la UCR en diferentes períodos del año a grupos de estudiantes de universidades extranjeras)</w:t>
      </w:r>
      <w:r w:rsidR="00C400E7" w:rsidRPr="0072151C">
        <w:rPr>
          <w:rFonts w:ascii="Arial" w:hAnsi="Arial" w:cs="Arial"/>
          <w:lang w:val="es-ES"/>
        </w:rPr>
        <w:t>,</w:t>
      </w:r>
      <w:r w:rsidRPr="0072151C">
        <w:rPr>
          <w:rFonts w:ascii="Arial" w:hAnsi="Arial" w:cs="Arial"/>
          <w:lang w:val="es-ES"/>
        </w:rPr>
        <w:t xml:space="preserve"> las unidades </w:t>
      </w:r>
      <w:r w:rsidRPr="0072151C">
        <w:rPr>
          <w:rFonts w:ascii="Arial" w:eastAsia="Times New Roman" w:hAnsi="Arial" w:cs="Arial"/>
          <w:lang w:val="es-ES" w:eastAsia="es-ES"/>
        </w:rPr>
        <w:t>académicas</w:t>
      </w:r>
      <w:r w:rsidR="007E3A10" w:rsidRPr="0072151C">
        <w:rPr>
          <w:rFonts w:ascii="Arial" w:hAnsi="Arial" w:cs="Arial"/>
          <w:lang w:val="es-ES"/>
        </w:rPr>
        <w:t xml:space="preserve"> deben</w:t>
      </w:r>
      <w:r w:rsidRPr="0072151C">
        <w:rPr>
          <w:rFonts w:ascii="Arial" w:hAnsi="Arial" w:cs="Arial"/>
          <w:lang w:val="es-ES"/>
        </w:rPr>
        <w:t xml:space="preserve"> tener un pr</w:t>
      </w:r>
      <w:r w:rsidR="00C400E7" w:rsidRPr="0072151C">
        <w:rPr>
          <w:rFonts w:ascii="Arial" w:hAnsi="Arial" w:cs="Arial"/>
          <w:lang w:val="es-ES"/>
        </w:rPr>
        <w:t>oyecto debidamente inscrito en</w:t>
      </w:r>
      <w:r w:rsidRPr="0072151C">
        <w:rPr>
          <w:rFonts w:ascii="Arial" w:hAnsi="Arial" w:cs="Arial"/>
          <w:lang w:val="es-ES"/>
        </w:rPr>
        <w:t xml:space="preserve"> la Vicerrectoría </w:t>
      </w:r>
      <w:r w:rsidR="00C400E7" w:rsidRPr="0072151C">
        <w:rPr>
          <w:rFonts w:ascii="Arial" w:hAnsi="Arial" w:cs="Arial"/>
          <w:lang w:val="es-ES"/>
        </w:rPr>
        <w:t xml:space="preserve">de Acción Social, Docencia o </w:t>
      </w:r>
      <w:r w:rsidRPr="0072151C">
        <w:rPr>
          <w:rFonts w:ascii="Arial" w:hAnsi="Arial" w:cs="Arial"/>
          <w:lang w:val="es-ES"/>
        </w:rPr>
        <w:t xml:space="preserve">Investigación, en el marco del cual se recibirán las transferencias requeridas. Los fondos estarán </w:t>
      </w:r>
      <w:r w:rsidR="00C400E7" w:rsidRPr="0072151C">
        <w:rPr>
          <w:rFonts w:ascii="Arial" w:hAnsi="Arial" w:cs="Arial"/>
          <w:lang w:val="es-ES"/>
        </w:rPr>
        <w:t>administrados por</w:t>
      </w:r>
      <w:r w:rsidRPr="0072151C">
        <w:rPr>
          <w:rFonts w:ascii="Arial" w:hAnsi="Arial" w:cs="Arial"/>
          <w:lang w:val="es-ES"/>
        </w:rPr>
        <w:t xml:space="preserve"> FUNDEVI, instancia que será parte del acuerdo a suscribir. </w:t>
      </w:r>
    </w:p>
    <w:p w:rsidR="00A606F4" w:rsidRPr="0072151C" w:rsidRDefault="00A606F4" w:rsidP="00A606F4">
      <w:pPr>
        <w:ind w:left="720"/>
        <w:jc w:val="both"/>
        <w:rPr>
          <w:rFonts w:ascii="Arial" w:hAnsi="Arial" w:cs="Arial"/>
          <w:lang w:val="es-ES"/>
        </w:rPr>
      </w:pPr>
    </w:p>
    <w:p w:rsidR="00A606F4" w:rsidRPr="0072151C" w:rsidRDefault="00A606F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lang w:val="es-ES"/>
        </w:rPr>
      </w:pPr>
      <w:r w:rsidRPr="0072151C">
        <w:rPr>
          <w:rFonts w:ascii="Arial" w:hAnsi="Arial" w:cs="Arial"/>
          <w:lang w:val="es-ES"/>
        </w:rPr>
        <w:t xml:space="preserve">Estos programas NO pueden incluir el alquiler de instalaciones institucionales, ni cursos o programas ofrecidos únicamente por docentes extranjeros o instituciones </w:t>
      </w:r>
      <w:r w:rsidRPr="0072151C">
        <w:rPr>
          <w:rFonts w:ascii="Arial" w:eastAsia="Times New Roman" w:hAnsi="Arial" w:cs="Arial"/>
          <w:lang w:val="es-ES" w:eastAsia="es-ES"/>
        </w:rPr>
        <w:t>extranjeras</w:t>
      </w:r>
      <w:r w:rsidRPr="0072151C">
        <w:rPr>
          <w:rFonts w:ascii="Arial" w:hAnsi="Arial" w:cs="Arial"/>
          <w:lang w:val="es-ES"/>
        </w:rPr>
        <w:t xml:space="preserve">. </w:t>
      </w:r>
      <w:r w:rsidR="0064787A" w:rsidRPr="0072151C">
        <w:rPr>
          <w:rFonts w:ascii="Arial" w:hAnsi="Arial" w:cs="Arial"/>
          <w:lang w:val="es-ES"/>
        </w:rPr>
        <w:t xml:space="preserve">Asimismo, </w:t>
      </w:r>
      <w:r w:rsidR="00BF18EA" w:rsidRPr="0072151C">
        <w:rPr>
          <w:rFonts w:ascii="Arial" w:hAnsi="Arial" w:cs="Arial"/>
          <w:lang w:val="es-ES"/>
        </w:rPr>
        <w:t>lo</w:t>
      </w:r>
      <w:r w:rsidR="00C400E7" w:rsidRPr="0072151C">
        <w:rPr>
          <w:rFonts w:ascii="Arial" w:hAnsi="Arial" w:cs="Arial"/>
          <w:lang w:val="es-ES"/>
        </w:rPr>
        <w:t xml:space="preserve">s programas </w:t>
      </w:r>
      <w:r w:rsidR="0021386E" w:rsidRPr="0072151C">
        <w:rPr>
          <w:rFonts w:ascii="Arial" w:hAnsi="Arial" w:cs="Arial"/>
          <w:lang w:val="es-ES"/>
        </w:rPr>
        <w:t>t</w:t>
      </w:r>
      <w:r w:rsidRPr="0072151C">
        <w:rPr>
          <w:rFonts w:ascii="Arial" w:hAnsi="Arial" w:cs="Arial"/>
          <w:lang w:val="es-ES"/>
        </w:rPr>
        <w:t>iene</w:t>
      </w:r>
      <w:r w:rsidR="00C400E7" w:rsidRPr="0072151C">
        <w:rPr>
          <w:rFonts w:ascii="Arial" w:hAnsi="Arial" w:cs="Arial"/>
          <w:lang w:val="es-ES"/>
        </w:rPr>
        <w:t>n un costo establecido por las unidades a</w:t>
      </w:r>
      <w:r w:rsidRPr="0072151C">
        <w:rPr>
          <w:rFonts w:ascii="Arial" w:hAnsi="Arial" w:cs="Arial"/>
          <w:lang w:val="es-ES"/>
        </w:rPr>
        <w:t>cadémicas oferentes</w:t>
      </w:r>
      <w:r w:rsidR="00BF18EA" w:rsidRPr="0072151C">
        <w:rPr>
          <w:rFonts w:ascii="Arial" w:hAnsi="Arial" w:cs="Arial"/>
          <w:lang w:val="es-ES"/>
        </w:rPr>
        <w:t xml:space="preserve">, en coordinación con la OAICE y </w:t>
      </w:r>
      <w:r w:rsidRPr="0072151C">
        <w:rPr>
          <w:rFonts w:ascii="Arial" w:hAnsi="Arial" w:cs="Arial"/>
          <w:lang w:val="es-ES"/>
        </w:rPr>
        <w:t xml:space="preserve">de acuerdo con los servicios que sean requeridos, a fin de contar con un fondo para promover la movilidad de sus estudiantes </w:t>
      </w:r>
      <w:r w:rsidR="00BF18EA" w:rsidRPr="0072151C">
        <w:rPr>
          <w:rFonts w:ascii="Arial" w:hAnsi="Arial" w:cs="Arial"/>
          <w:lang w:val="es-ES"/>
        </w:rPr>
        <w:t xml:space="preserve">a universidades en el exterior </w:t>
      </w:r>
      <w:r w:rsidRPr="0072151C">
        <w:rPr>
          <w:rFonts w:ascii="Arial" w:hAnsi="Arial" w:cs="Arial"/>
          <w:lang w:val="es-ES"/>
        </w:rPr>
        <w:t>en el marco de programas de intercambio.</w:t>
      </w:r>
    </w:p>
    <w:p w:rsidR="00A606F4" w:rsidRPr="0072151C" w:rsidRDefault="00A606F4" w:rsidP="00A606F4">
      <w:pPr>
        <w:tabs>
          <w:tab w:val="left" w:pos="2120"/>
        </w:tabs>
        <w:jc w:val="both"/>
        <w:rPr>
          <w:rFonts w:ascii="Arial" w:hAnsi="Arial" w:cs="Arial"/>
          <w:lang w:val="es-ES"/>
        </w:rPr>
      </w:pPr>
    </w:p>
    <w:p w:rsidR="00A606F4" w:rsidRPr="0072151C" w:rsidRDefault="00A606F4" w:rsidP="00BF18EA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72151C">
        <w:rPr>
          <w:rFonts w:ascii="Arial" w:eastAsia="Times New Roman" w:hAnsi="Arial" w:cs="Arial"/>
          <w:lang w:val="es-ES" w:eastAsia="es-ES"/>
        </w:rPr>
        <w:t>Para dar inicio a la gestión de análisis de convenios</w:t>
      </w:r>
      <w:r w:rsidR="00BF18EA" w:rsidRPr="0072151C">
        <w:rPr>
          <w:rFonts w:ascii="Arial" w:eastAsia="Times New Roman" w:hAnsi="Arial" w:cs="Arial"/>
          <w:lang w:val="es-ES" w:eastAsia="es-ES"/>
        </w:rPr>
        <w:t>, la OAICE requiere que las unidades a</w:t>
      </w:r>
      <w:r w:rsidRPr="0072151C">
        <w:rPr>
          <w:rFonts w:ascii="Arial" w:eastAsia="Times New Roman" w:hAnsi="Arial" w:cs="Arial"/>
          <w:lang w:val="es-ES" w:eastAsia="es-ES"/>
        </w:rPr>
        <w:t>cadémicas interesadas pr</w:t>
      </w:r>
      <w:r w:rsidR="00AE1FCB">
        <w:rPr>
          <w:rFonts w:ascii="Arial" w:eastAsia="Times New Roman" w:hAnsi="Arial" w:cs="Arial"/>
          <w:lang w:val="es-ES" w:eastAsia="es-ES"/>
        </w:rPr>
        <w:t xml:space="preserve">esenten la información </w:t>
      </w:r>
      <w:r w:rsidRPr="0072151C">
        <w:rPr>
          <w:rFonts w:ascii="Arial" w:eastAsia="Times New Roman" w:hAnsi="Arial" w:cs="Arial"/>
          <w:lang w:val="es-ES" w:eastAsia="es-ES"/>
        </w:rPr>
        <w:t xml:space="preserve">en el </w:t>
      </w:r>
      <w:r w:rsidR="00550E14" w:rsidRPr="0072151C">
        <w:rPr>
          <w:rFonts w:ascii="Arial" w:eastAsia="Times New Roman" w:hAnsi="Arial" w:cs="Arial"/>
          <w:lang w:val="es-ES" w:eastAsia="es-ES"/>
        </w:rPr>
        <w:t>formulario de s</w:t>
      </w:r>
      <w:r w:rsidRPr="0072151C">
        <w:rPr>
          <w:rFonts w:ascii="Arial" w:eastAsia="Times New Roman" w:hAnsi="Arial" w:cs="Arial"/>
          <w:lang w:val="es-ES" w:eastAsia="es-ES"/>
        </w:rPr>
        <w:t>olicitud correspondiente.</w:t>
      </w:r>
      <w:r w:rsidR="00BF18EA" w:rsidRPr="0072151C">
        <w:rPr>
          <w:rFonts w:ascii="Arial" w:eastAsia="Times New Roman" w:hAnsi="Arial" w:cs="Arial"/>
          <w:lang w:val="es-ES" w:eastAsia="es-ES"/>
        </w:rPr>
        <w:t xml:space="preserve"> </w:t>
      </w:r>
      <w:r w:rsidRPr="0072151C">
        <w:rPr>
          <w:rFonts w:ascii="Arial" w:eastAsia="Times New Roman" w:hAnsi="Arial" w:cs="Arial"/>
          <w:u w:val="single"/>
          <w:lang w:val="es-ES" w:eastAsia="es-ES"/>
        </w:rPr>
        <w:t>Esta información debe entregarse debidamente completa a la OAICE al menos 6 meses antes del inicio de las actividades</w:t>
      </w:r>
      <w:r w:rsidR="003D3E2C" w:rsidRPr="0072151C">
        <w:rPr>
          <w:rFonts w:ascii="Arial" w:eastAsia="Times New Roman" w:hAnsi="Arial" w:cs="Arial"/>
          <w:lang w:val="es-ES" w:eastAsia="es-ES"/>
        </w:rPr>
        <w:t xml:space="preserve">; </w:t>
      </w:r>
      <w:r w:rsidR="007E3A10" w:rsidRPr="0072151C">
        <w:rPr>
          <w:rFonts w:ascii="Arial" w:eastAsia="Times New Roman" w:hAnsi="Arial" w:cs="Arial"/>
          <w:lang w:val="es-ES" w:eastAsia="es-ES"/>
        </w:rPr>
        <w:t>esto en vista de que</w:t>
      </w:r>
      <w:r w:rsidR="003D3E2C" w:rsidRPr="0072151C">
        <w:rPr>
          <w:rFonts w:ascii="Arial" w:eastAsia="Times New Roman" w:hAnsi="Arial" w:cs="Arial"/>
          <w:lang w:val="es-ES" w:eastAsia="es-ES"/>
        </w:rPr>
        <w:t xml:space="preserve"> </w:t>
      </w:r>
      <w:r w:rsidRPr="0072151C">
        <w:rPr>
          <w:rFonts w:ascii="Arial" w:eastAsia="Times New Roman" w:hAnsi="Arial" w:cs="Arial"/>
          <w:lang w:val="es-ES" w:eastAsia="es-ES"/>
        </w:rPr>
        <w:t>se requiere</w:t>
      </w:r>
      <w:r w:rsidR="007E3A10" w:rsidRPr="0072151C">
        <w:rPr>
          <w:rFonts w:ascii="Arial" w:eastAsia="Times New Roman" w:hAnsi="Arial" w:cs="Arial"/>
          <w:lang w:val="es-ES" w:eastAsia="es-ES"/>
        </w:rPr>
        <w:t xml:space="preserve"> contar con</w:t>
      </w:r>
      <w:r w:rsidRPr="0072151C">
        <w:rPr>
          <w:rFonts w:ascii="Arial" w:eastAsia="Times New Roman" w:hAnsi="Arial" w:cs="Arial"/>
          <w:lang w:val="es-ES" w:eastAsia="es-ES"/>
        </w:rPr>
        <w:t xml:space="preserve"> su</w:t>
      </w:r>
      <w:r w:rsidR="007E3A10" w:rsidRPr="0072151C">
        <w:rPr>
          <w:rFonts w:ascii="Arial" w:eastAsia="Times New Roman" w:hAnsi="Arial" w:cs="Arial"/>
          <w:lang w:val="es-ES" w:eastAsia="es-ES"/>
        </w:rPr>
        <w:t xml:space="preserve">ficiente tiempo para analizar </w:t>
      </w:r>
      <w:r w:rsidR="00BF18EA" w:rsidRPr="0072151C">
        <w:rPr>
          <w:rFonts w:ascii="Arial" w:eastAsia="Times New Roman" w:hAnsi="Arial" w:cs="Arial"/>
          <w:lang w:val="es-ES" w:eastAsia="es-ES"/>
        </w:rPr>
        <w:t>la información, coordinar</w:t>
      </w:r>
      <w:r w:rsidRPr="0072151C">
        <w:rPr>
          <w:rFonts w:ascii="Arial" w:eastAsia="Times New Roman" w:hAnsi="Arial" w:cs="Arial"/>
          <w:lang w:val="es-ES" w:eastAsia="es-ES"/>
        </w:rPr>
        <w:t xml:space="preserve"> co</w:t>
      </w:r>
      <w:r w:rsidR="00BF18EA" w:rsidRPr="0072151C">
        <w:rPr>
          <w:rFonts w:ascii="Arial" w:eastAsia="Times New Roman" w:hAnsi="Arial" w:cs="Arial"/>
          <w:lang w:val="es-ES" w:eastAsia="es-ES"/>
        </w:rPr>
        <w:t xml:space="preserve">n las instancias </w:t>
      </w:r>
      <w:r w:rsidRPr="0072151C">
        <w:rPr>
          <w:rFonts w:ascii="Arial" w:eastAsia="Times New Roman" w:hAnsi="Arial" w:cs="Arial"/>
          <w:lang w:val="es-ES" w:eastAsia="es-ES"/>
        </w:rPr>
        <w:t>involu</w:t>
      </w:r>
      <w:r w:rsidR="00BC47C0" w:rsidRPr="0072151C">
        <w:rPr>
          <w:rFonts w:ascii="Arial" w:eastAsia="Times New Roman" w:hAnsi="Arial" w:cs="Arial"/>
          <w:lang w:val="es-ES" w:eastAsia="es-ES"/>
        </w:rPr>
        <w:t xml:space="preserve">cradas y negociar </w:t>
      </w:r>
      <w:r w:rsidRPr="0072151C">
        <w:rPr>
          <w:rFonts w:ascii="Arial" w:eastAsia="Times New Roman" w:hAnsi="Arial" w:cs="Arial"/>
          <w:lang w:val="es-ES" w:eastAsia="es-ES"/>
        </w:rPr>
        <w:t>con la contraparte.</w:t>
      </w:r>
      <w:r w:rsidR="0021386E" w:rsidRPr="0072151C">
        <w:rPr>
          <w:rFonts w:ascii="Arial" w:eastAsia="Times New Roman" w:hAnsi="Arial" w:cs="Arial"/>
          <w:lang w:val="es-ES" w:eastAsia="es-ES"/>
        </w:rPr>
        <w:t xml:space="preserve"> </w:t>
      </w:r>
      <w:r w:rsidRPr="0072151C">
        <w:rPr>
          <w:rFonts w:ascii="Arial" w:eastAsia="Times New Roman" w:hAnsi="Arial" w:cs="Arial"/>
          <w:lang w:val="es-ES" w:eastAsia="es-ES"/>
        </w:rPr>
        <w:t xml:space="preserve">Los formularios se pueden obtener en el siguiente enlace: </w:t>
      </w:r>
      <w:hyperlink r:id="rId8" w:history="1">
        <w:r w:rsidRPr="0072151C">
          <w:rPr>
            <w:rFonts w:ascii="Arial" w:eastAsia="Times New Roman" w:hAnsi="Arial" w:cs="Arial"/>
            <w:color w:val="0000FF"/>
            <w:u w:val="single"/>
            <w:lang w:val="es-ES" w:eastAsia="es-ES"/>
          </w:rPr>
          <w:t>http://www.oaice.ucr.ac.cr/es/convenios/formularios.html</w:t>
        </w:r>
      </w:hyperlink>
    </w:p>
    <w:p w:rsidR="00A606F4" w:rsidRPr="0072151C" w:rsidRDefault="00A606F4" w:rsidP="00A606F4">
      <w:pPr>
        <w:tabs>
          <w:tab w:val="left" w:pos="720"/>
        </w:tabs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A606F4" w:rsidRPr="0072151C" w:rsidRDefault="00A606F4" w:rsidP="005523E9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lang w:val="es-ES"/>
        </w:rPr>
      </w:pPr>
      <w:r w:rsidRPr="0072151C">
        <w:rPr>
          <w:rFonts w:ascii="Arial" w:hAnsi="Arial" w:cs="Arial"/>
          <w:lang w:val="es-ES"/>
        </w:rPr>
        <w:t xml:space="preserve">La Institución no avalará el desarrollo de actividades que no hayan sido </w:t>
      </w:r>
      <w:r w:rsidR="009D0159" w:rsidRPr="0072151C">
        <w:rPr>
          <w:rFonts w:ascii="Arial" w:eastAsia="Times New Roman" w:hAnsi="Arial" w:cs="Arial"/>
          <w:lang w:val="es-ES" w:eastAsia="es-ES"/>
        </w:rPr>
        <w:t>formalizada</w:t>
      </w:r>
      <w:r w:rsidRPr="0072151C">
        <w:rPr>
          <w:rFonts w:ascii="Arial" w:eastAsia="Times New Roman" w:hAnsi="Arial" w:cs="Arial"/>
          <w:lang w:val="es-ES" w:eastAsia="es-ES"/>
        </w:rPr>
        <w:t>s</w:t>
      </w:r>
      <w:r w:rsidR="009D0159" w:rsidRPr="0072151C">
        <w:rPr>
          <w:rFonts w:ascii="Arial" w:hAnsi="Arial" w:cs="Arial"/>
          <w:lang w:val="es-ES"/>
        </w:rPr>
        <w:t xml:space="preserve"> por medio de</w:t>
      </w:r>
      <w:r w:rsidRPr="0072151C">
        <w:rPr>
          <w:rFonts w:ascii="Arial" w:hAnsi="Arial" w:cs="Arial"/>
          <w:lang w:val="es-ES"/>
        </w:rPr>
        <w:t xml:space="preserve"> la OAICE, en coordinación con las instancias correspondientes. </w:t>
      </w:r>
      <w:r w:rsidR="00BC47C0" w:rsidRPr="0072151C">
        <w:rPr>
          <w:rFonts w:ascii="Arial" w:hAnsi="Arial" w:cs="Arial"/>
          <w:lang w:val="es-ES"/>
        </w:rPr>
        <w:t>Asimismo, c</w:t>
      </w:r>
      <w:r w:rsidRPr="0072151C">
        <w:rPr>
          <w:rFonts w:ascii="Arial" w:hAnsi="Arial" w:cs="Arial"/>
          <w:lang w:val="es-ES"/>
        </w:rPr>
        <w:t xml:space="preserve">abe aclarar que no se permitirá el </w:t>
      </w:r>
      <w:r w:rsidR="003D3E2C" w:rsidRPr="0072151C">
        <w:rPr>
          <w:rFonts w:ascii="Arial" w:hAnsi="Arial" w:cs="Arial"/>
          <w:lang w:val="es-ES"/>
        </w:rPr>
        <w:t>desarrollo</w:t>
      </w:r>
      <w:r w:rsidR="00BC47C0" w:rsidRPr="0072151C">
        <w:rPr>
          <w:rFonts w:ascii="Arial" w:hAnsi="Arial" w:cs="Arial"/>
          <w:lang w:val="es-ES"/>
        </w:rPr>
        <w:t xml:space="preserve"> de éstas,</w:t>
      </w:r>
      <w:r w:rsidRPr="0072151C">
        <w:rPr>
          <w:rFonts w:ascii="Arial" w:hAnsi="Arial" w:cs="Arial"/>
          <w:lang w:val="es-ES"/>
        </w:rPr>
        <w:t xml:space="preserve"> hasta tanto no se cuente con el convenio suscrito por las partes.</w:t>
      </w:r>
    </w:p>
    <w:p w:rsidR="00162E39" w:rsidRPr="0072151C" w:rsidRDefault="00162E39" w:rsidP="009D0159">
      <w:pPr>
        <w:spacing w:line="360" w:lineRule="auto"/>
        <w:ind w:left="3540" w:firstLine="708"/>
        <w:rPr>
          <w:rFonts w:ascii="Arial" w:hAnsi="Arial" w:cs="Arial"/>
        </w:rPr>
      </w:pPr>
      <w:r w:rsidRPr="0072151C">
        <w:rPr>
          <w:rFonts w:ascii="Arial" w:hAnsi="Arial" w:cs="Arial"/>
        </w:rPr>
        <w:t>Atentamente,</w:t>
      </w:r>
    </w:p>
    <w:p w:rsidR="00331A13" w:rsidRPr="0072151C" w:rsidRDefault="00331A13" w:rsidP="005E084F">
      <w:pPr>
        <w:spacing w:line="360" w:lineRule="auto"/>
        <w:rPr>
          <w:rFonts w:ascii="Arial" w:hAnsi="Arial" w:cs="Arial"/>
        </w:rPr>
      </w:pPr>
    </w:p>
    <w:p w:rsidR="00C06FA9" w:rsidRDefault="00C06FA9" w:rsidP="005E084F">
      <w:pPr>
        <w:spacing w:line="360" w:lineRule="auto"/>
        <w:rPr>
          <w:rFonts w:ascii="Arial" w:hAnsi="Arial" w:cs="Arial"/>
        </w:rPr>
      </w:pPr>
    </w:p>
    <w:p w:rsidR="00162E39" w:rsidRPr="0072151C" w:rsidRDefault="00A56F7B" w:rsidP="009D0159">
      <w:pPr>
        <w:ind w:left="3540" w:firstLine="708"/>
        <w:jc w:val="both"/>
        <w:rPr>
          <w:rFonts w:ascii="Arial" w:hAnsi="Arial" w:cs="Arial"/>
          <w:lang w:val="es-ES"/>
        </w:rPr>
      </w:pPr>
      <w:r w:rsidRPr="0072151C">
        <w:rPr>
          <w:rFonts w:ascii="Arial" w:hAnsi="Arial" w:cs="Arial"/>
          <w:lang w:val="es-ES"/>
        </w:rPr>
        <w:t>Dra. Julieta Carranza Velázquez</w:t>
      </w:r>
    </w:p>
    <w:p w:rsidR="005E084F" w:rsidRDefault="00A56F7B" w:rsidP="006A35FD">
      <w:pPr>
        <w:ind w:left="3540" w:firstLine="708"/>
        <w:jc w:val="both"/>
        <w:rPr>
          <w:rFonts w:ascii="Arial" w:hAnsi="Arial" w:cs="Arial"/>
          <w:lang w:val="es-ES"/>
        </w:rPr>
      </w:pPr>
      <w:r w:rsidRPr="0072151C">
        <w:rPr>
          <w:rFonts w:ascii="Arial" w:hAnsi="Arial" w:cs="Arial"/>
          <w:lang w:val="es-ES"/>
        </w:rPr>
        <w:t>Directora</w:t>
      </w:r>
    </w:p>
    <w:p w:rsidR="0072151C" w:rsidRPr="0072151C" w:rsidRDefault="0072151C" w:rsidP="0072151C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2151C">
        <w:rPr>
          <w:rFonts w:ascii="Arial" w:hAnsi="Arial" w:cs="Arial"/>
          <w:sz w:val="20"/>
          <w:szCs w:val="20"/>
          <w:lang w:val="es-ES"/>
        </w:rPr>
        <w:t>C. Archivo</w:t>
      </w:r>
    </w:p>
    <w:sectPr w:rsidR="0072151C" w:rsidRPr="0072151C" w:rsidSect="005523E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701" w:bottom="993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E6" w:rsidRDefault="000B2DE6" w:rsidP="008E3290">
      <w:r>
        <w:separator/>
      </w:r>
    </w:p>
  </w:endnote>
  <w:endnote w:type="continuationSeparator" w:id="0">
    <w:p w:rsidR="000B2DE6" w:rsidRDefault="000B2DE6" w:rsidP="008E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43" w:rsidRPr="00895043" w:rsidRDefault="00895043" w:rsidP="00895043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5043">
      <w:rPr>
        <w:rFonts w:ascii="Arial" w:hAnsi="Arial" w:cs="Arial"/>
        <w:sz w:val="20"/>
        <w:szCs w:val="20"/>
      </w:rPr>
      <w:t>Tel. 2511 5080</w:t>
    </w:r>
    <w:r w:rsidRPr="00895043">
      <w:rPr>
        <w:rFonts w:ascii="Arial" w:hAnsi="Arial" w:cs="Arial"/>
        <w:sz w:val="20"/>
        <w:szCs w:val="20"/>
      </w:rPr>
      <w:tab/>
      <w:t>www-oaice.ucr.ac.cr</w:t>
    </w:r>
    <w:r w:rsidRPr="00895043">
      <w:rPr>
        <w:rFonts w:ascii="Arial" w:hAnsi="Arial" w:cs="Arial"/>
        <w:sz w:val="20"/>
        <w:szCs w:val="20"/>
      </w:rPr>
      <w:tab/>
      <w:t>oaice@ucr.ac.cr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AC" w:rsidRPr="00363CAC" w:rsidRDefault="00363CAC" w:rsidP="00363CAC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5043">
      <w:rPr>
        <w:rFonts w:ascii="Arial" w:hAnsi="Arial" w:cs="Arial"/>
        <w:sz w:val="20"/>
        <w:szCs w:val="20"/>
      </w:rPr>
      <w:t xml:space="preserve">Tel. </w:t>
    </w:r>
    <w:r w:rsidR="007E46AE">
      <w:rPr>
        <w:rFonts w:ascii="Arial" w:hAnsi="Arial" w:cs="Arial"/>
        <w:sz w:val="20"/>
        <w:szCs w:val="20"/>
      </w:rPr>
      <w:t xml:space="preserve">(506) </w:t>
    </w:r>
    <w:r w:rsidR="001C2E69">
      <w:rPr>
        <w:rFonts w:ascii="Arial" w:hAnsi="Arial" w:cs="Arial"/>
        <w:sz w:val="20"/>
        <w:szCs w:val="20"/>
      </w:rPr>
      <w:t>2511 5080</w:t>
    </w:r>
    <w:r w:rsidR="001C2E69">
      <w:rPr>
        <w:rFonts w:ascii="Arial" w:hAnsi="Arial" w:cs="Arial"/>
        <w:sz w:val="20"/>
        <w:szCs w:val="20"/>
      </w:rPr>
      <w:tab/>
      <w:t>www.</w:t>
    </w:r>
    <w:r w:rsidRPr="00895043">
      <w:rPr>
        <w:rFonts w:ascii="Arial" w:hAnsi="Arial" w:cs="Arial"/>
        <w:sz w:val="20"/>
        <w:szCs w:val="20"/>
      </w:rPr>
      <w:t>oaice.ucr.ac.cr</w:t>
    </w:r>
    <w:r w:rsidRPr="00895043">
      <w:rPr>
        <w:rFonts w:ascii="Arial" w:hAnsi="Arial" w:cs="Arial"/>
        <w:sz w:val="20"/>
        <w:szCs w:val="20"/>
      </w:rPr>
      <w:tab/>
      <w:t>oaice@ucr.ac.cr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E6" w:rsidRDefault="000B2DE6" w:rsidP="008E3290">
      <w:r>
        <w:separator/>
      </w:r>
    </w:p>
  </w:footnote>
  <w:footnote w:type="continuationSeparator" w:id="0">
    <w:p w:rsidR="000B2DE6" w:rsidRDefault="000B2DE6" w:rsidP="008E3290">
      <w:r>
        <w:continuationSeparator/>
      </w:r>
    </w:p>
  </w:footnote>
  <w:footnote w:id="1">
    <w:p w:rsidR="00A606F4" w:rsidRPr="0072151C" w:rsidRDefault="00A606F4" w:rsidP="00A606F4">
      <w:pPr>
        <w:pStyle w:val="Textonotapie"/>
        <w:rPr>
          <w:rFonts w:ascii="Arial" w:hAnsi="Arial" w:cs="Arial"/>
          <w:sz w:val="18"/>
          <w:szCs w:val="18"/>
          <w:lang w:val="es-CR"/>
        </w:rPr>
      </w:pPr>
      <w:r w:rsidRPr="0072151C">
        <w:rPr>
          <w:rFonts w:ascii="Arial" w:hAnsi="Arial" w:cs="Arial"/>
          <w:sz w:val="18"/>
          <w:szCs w:val="18"/>
          <w:lang w:val="es-CR"/>
        </w:rPr>
        <w:t xml:space="preserve">1 (Aprobadas en </w:t>
      </w:r>
      <w:r w:rsidR="005523E9" w:rsidRPr="0072151C">
        <w:rPr>
          <w:rFonts w:ascii="Arial" w:hAnsi="Arial" w:cs="Arial"/>
          <w:sz w:val="18"/>
          <w:szCs w:val="18"/>
          <w:lang w:val="es-CR"/>
        </w:rPr>
        <w:t>sesión 4586</w:t>
      </w:r>
      <w:r w:rsidRPr="0072151C">
        <w:rPr>
          <w:rFonts w:ascii="Arial" w:hAnsi="Arial" w:cs="Arial"/>
          <w:sz w:val="18"/>
          <w:szCs w:val="18"/>
          <w:lang w:val="es-CR"/>
        </w:rPr>
        <w:t>-03, 18/10/2000. Publicadas en la Gaceta Universitaria 24-2000,</w:t>
      </w:r>
      <w:r w:rsidR="00EE0729">
        <w:rPr>
          <w:rFonts w:ascii="Arial" w:hAnsi="Arial" w:cs="Arial"/>
          <w:sz w:val="18"/>
          <w:szCs w:val="18"/>
          <w:lang w:val="es-CR"/>
        </w:rPr>
        <w:t xml:space="preserve"> </w:t>
      </w:r>
      <w:r w:rsidRPr="0072151C">
        <w:rPr>
          <w:rFonts w:ascii="Arial" w:hAnsi="Arial" w:cs="Arial"/>
          <w:sz w:val="18"/>
          <w:szCs w:val="18"/>
          <w:lang w:val="es-CR"/>
        </w:rPr>
        <w:t>07/11/2000)</w:t>
      </w:r>
      <w:r w:rsidR="003D3E2C" w:rsidRPr="0072151C">
        <w:rPr>
          <w:rFonts w:ascii="Arial" w:hAnsi="Arial" w:cs="Arial"/>
          <w:sz w:val="18"/>
          <w:szCs w:val="18"/>
          <w:lang w:val="es-CR"/>
        </w:rPr>
        <w:t>.</w:t>
      </w:r>
    </w:p>
  </w:footnote>
  <w:footnote w:id="2">
    <w:p w:rsidR="00A606F4" w:rsidRPr="0072151C" w:rsidRDefault="00A606F4" w:rsidP="00BC47C0">
      <w:pPr>
        <w:pStyle w:val="Textonotapie"/>
        <w:jc w:val="both"/>
        <w:rPr>
          <w:rFonts w:ascii="Arial" w:hAnsi="Arial" w:cs="Arial"/>
          <w:sz w:val="16"/>
          <w:szCs w:val="16"/>
          <w:lang w:val="es-CR"/>
        </w:rPr>
      </w:pPr>
      <w:r w:rsidRPr="0072151C">
        <w:rPr>
          <w:rFonts w:ascii="Arial" w:hAnsi="Arial" w:cs="Arial"/>
          <w:sz w:val="16"/>
          <w:szCs w:val="16"/>
          <w:lang w:val="es-CR"/>
        </w:rPr>
        <w:footnoteRef/>
      </w:r>
      <w:r w:rsidRPr="0072151C">
        <w:rPr>
          <w:rFonts w:ascii="Arial" w:hAnsi="Arial" w:cs="Arial"/>
          <w:sz w:val="16"/>
          <w:szCs w:val="16"/>
          <w:lang w:val="es-CR"/>
        </w:rPr>
        <w:t xml:space="preserve"> (Aprobado en la Sesión 4384-07, 16/09/1998. Publicados en la Gaceta Universitaria 03-98, 24/09/1998. Modificados en Sesión 4511-01, 16/12/1999. Nueva publicación en el Alcance a la Gaceta Universitaria 3-2000, 06/03/2000.</w:t>
      </w:r>
    </w:p>
  </w:footnote>
  <w:footnote w:id="3">
    <w:p w:rsidR="00A606F4" w:rsidRPr="0072151C" w:rsidRDefault="00A606F4" w:rsidP="00A606F4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72151C">
        <w:rPr>
          <w:rFonts w:ascii="Arial" w:hAnsi="Arial" w:cs="Arial"/>
          <w:sz w:val="16"/>
          <w:szCs w:val="16"/>
          <w:lang w:val="es-CR"/>
        </w:rPr>
        <w:footnoteRef/>
      </w:r>
      <w:r w:rsidRPr="0072151C">
        <w:rPr>
          <w:rFonts w:ascii="Arial" w:hAnsi="Arial" w:cs="Arial"/>
          <w:sz w:val="16"/>
          <w:szCs w:val="16"/>
          <w:lang w:val="es-CR"/>
        </w:rPr>
        <w:t xml:space="preserve"> Artículo 1.1 de los Lineamientos para la vinculación remunerada de la Universidad de Costa Rica con el Sector Externo.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66"/>
      <w:gridCol w:w="2993"/>
      <w:gridCol w:w="2993"/>
    </w:tblGrid>
    <w:tr w:rsidR="00167189" w:rsidTr="006B3F77">
      <w:tc>
        <w:tcPr>
          <w:tcW w:w="3036" w:type="dxa"/>
          <w:tcBorders>
            <w:bottom w:val="single" w:sz="4" w:space="0" w:color="auto"/>
            <w:right w:val="single" w:sz="4" w:space="0" w:color="auto"/>
          </w:tcBorders>
        </w:tcPr>
        <w:p w:rsidR="00167189" w:rsidRDefault="00167189" w:rsidP="006B3F7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1790700" cy="816490"/>
                <wp:effectExtent l="1905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horizontal_UC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81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tcBorders>
            <w:left w:val="single" w:sz="4" w:space="0" w:color="auto"/>
            <w:bottom w:val="single" w:sz="4" w:space="0" w:color="auto"/>
          </w:tcBorders>
        </w:tcPr>
        <w:p w:rsidR="00167189" w:rsidRDefault="00167189" w:rsidP="006B3F77">
          <w:pPr>
            <w:pStyle w:val="Encabezado"/>
          </w:pPr>
        </w:p>
        <w:p w:rsidR="00167189" w:rsidRDefault="00167189" w:rsidP="006B3F77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  <w:p w:rsidR="00167189" w:rsidRPr="00E27923" w:rsidRDefault="005523E9" w:rsidP="006B3F77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RECTORÍA</w:t>
          </w:r>
        </w:p>
      </w:tc>
      <w:tc>
        <w:tcPr>
          <w:tcW w:w="2993" w:type="dxa"/>
          <w:tcBorders>
            <w:bottom w:val="single" w:sz="4" w:space="0" w:color="auto"/>
          </w:tcBorders>
        </w:tcPr>
        <w:p w:rsidR="00167189" w:rsidRPr="0081314A" w:rsidRDefault="00167189" w:rsidP="006B3F77">
          <w:pPr>
            <w:pStyle w:val="Encabezado"/>
            <w:jc w:val="right"/>
            <w:rPr>
              <w:rFonts w:ascii="Arial" w:hAnsi="Arial" w:cs="Arial"/>
              <w:sz w:val="24"/>
              <w:szCs w:val="24"/>
            </w:rPr>
          </w:pPr>
          <w:r w:rsidRPr="00E27923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742950" cy="765306"/>
                <wp:effectExtent l="19050" t="0" r="0" b="0"/>
                <wp:docPr id="7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61" cy="766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2E69" w:rsidRDefault="001C2E69" w:rsidP="00EB2456">
    <w:pPr>
      <w:ind w:left="4253"/>
      <w:jc w:val="both"/>
      <w:rPr>
        <w:rFonts w:ascii="Arial" w:hAnsi="Arial" w:cs="Arial"/>
        <w:sz w:val="20"/>
        <w:szCs w:val="20"/>
      </w:rPr>
    </w:pPr>
  </w:p>
  <w:p w:rsidR="00EB2456" w:rsidRPr="0021386E" w:rsidRDefault="00025AB8" w:rsidP="00EB2456">
    <w:pPr>
      <w:jc w:val="both"/>
      <w:rPr>
        <w:rFonts w:ascii="Arial" w:hAnsi="Arial" w:cs="Arial"/>
        <w:sz w:val="18"/>
        <w:szCs w:val="18"/>
      </w:rPr>
    </w:pPr>
    <w:r w:rsidRPr="0021386E">
      <w:rPr>
        <w:rFonts w:ascii="Arial" w:hAnsi="Arial" w:cs="Arial"/>
        <w:sz w:val="18"/>
        <w:szCs w:val="18"/>
      </w:rPr>
      <w:t>CIRCULAR OAICE-DG-10-106</w:t>
    </w:r>
    <w:r w:rsidR="00EB2456" w:rsidRPr="0021386E">
      <w:rPr>
        <w:rFonts w:ascii="Arial" w:hAnsi="Arial" w:cs="Arial"/>
        <w:sz w:val="18"/>
        <w:szCs w:val="18"/>
      </w:rPr>
      <w:t>-2014</w:t>
    </w:r>
  </w:p>
  <w:p w:rsidR="000E4558" w:rsidRPr="0021386E" w:rsidRDefault="000E4558" w:rsidP="00167189">
    <w:pPr>
      <w:pStyle w:val="Encabezado"/>
      <w:rPr>
        <w:rFonts w:ascii="Arial" w:hAnsi="Arial" w:cs="Arial"/>
        <w:sz w:val="18"/>
        <w:szCs w:val="18"/>
      </w:rPr>
    </w:pPr>
    <w:r w:rsidRPr="0021386E">
      <w:rPr>
        <w:rFonts w:ascii="Arial" w:hAnsi="Arial" w:cs="Arial"/>
        <w:sz w:val="18"/>
        <w:szCs w:val="18"/>
      </w:rPr>
      <w:t xml:space="preserve">Página </w:t>
    </w:r>
    <w:r w:rsidR="00374132" w:rsidRPr="0021386E">
      <w:rPr>
        <w:rFonts w:ascii="Arial" w:hAnsi="Arial" w:cs="Arial"/>
        <w:sz w:val="18"/>
        <w:szCs w:val="18"/>
      </w:rPr>
      <w:fldChar w:fldCharType="begin"/>
    </w:r>
    <w:r w:rsidRPr="0021386E">
      <w:rPr>
        <w:rFonts w:ascii="Arial" w:hAnsi="Arial" w:cs="Arial"/>
        <w:sz w:val="18"/>
        <w:szCs w:val="18"/>
      </w:rPr>
      <w:instrText>PAGE   \* MERGEFORMAT</w:instrText>
    </w:r>
    <w:r w:rsidR="00374132" w:rsidRPr="0021386E">
      <w:rPr>
        <w:rFonts w:ascii="Arial" w:hAnsi="Arial" w:cs="Arial"/>
        <w:sz w:val="18"/>
        <w:szCs w:val="18"/>
      </w:rPr>
      <w:fldChar w:fldCharType="separate"/>
    </w:r>
    <w:r w:rsidR="00850EB0" w:rsidRPr="00850EB0">
      <w:rPr>
        <w:rFonts w:ascii="Arial" w:hAnsi="Arial" w:cs="Arial"/>
        <w:noProof/>
        <w:sz w:val="18"/>
        <w:szCs w:val="18"/>
        <w:lang w:val="es-ES"/>
      </w:rPr>
      <w:t>2</w:t>
    </w:r>
    <w:r w:rsidR="00374132" w:rsidRPr="0021386E">
      <w:rPr>
        <w:rFonts w:ascii="Arial" w:hAnsi="Arial" w:cs="Arial"/>
        <w:sz w:val="18"/>
        <w:szCs w:val="18"/>
      </w:rPr>
      <w:fldChar w:fldCharType="end"/>
    </w:r>
  </w:p>
  <w:p w:rsidR="001C2E69" w:rsidRPr="000E4558" w:rsidRDefault="001C2E69" w:rsidP="00167189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66"/>
      <w:gridCol w:w="2993"/>
      <w:gridCol w:w="2993"/>
    </w:tblGrid>
    <w:tr w:rsidR="00363CAC" w:rsidTr="00363CAC">
      <w:tc>
        <w:tcPr>
          <w:tcW w:w="3036" w:type="dxa"/>
          <w:tcBorders>
            <w:bottom w:val="single" w:sz="4" w:space="0" w:color="auto"/>
            <w:right w:val="single" w:sz="4" w:space="0" w:color="auto"/>
          </w:tcBorders>
        </w:tcPr>
        <w:p w:rsidR="00363CAC" w:rsidRDefault="00363CAC" w:rsidP="00CB29DF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1790700" cy="816490"/>
                <wp:effectExtent l="19050" t="0" r="0" b="0"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horizontal_UC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81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tcBorders>
            <w:left w:val="single" w:sz="4" w:space="0" w:color="auto"/>
            <w:bottom w:val="single" w:sz="4" w:space="0" w:color="auto"/>
          </w:tcBorders>
        </w:tcPr>
        <w:p w:rsidR="00363CAC" w:rsidRDefault="00363CAC" w:rsidP="00CB29DF">
          <w:pPr>
            <w:pStyle w:val="Encabezado"/>
          </w:pPr>
        </w:p>
        <w:p w:rsidR="00E27923" w:rsidRDefault="00E27923" w:rsidP="00CB29DF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  <w:p w:rsidR="00363CAC" w:rsidRPr="00E27923" w:rsidRDefault="00F06EB4" w:rsidP="00CB29DF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RECTORÍA</w:t>
          </w:r>
        </w:p>
      </w:tc>
      <w:tc>
        <w:tcPr>
          <w:tcW w:w="2993" w:type="dxa"/>
          <w:tcBorders>
            <w:bottom w:val="single" w:sz="4" w:space="0" w:color="auto"/>
          </w:tcBorders>
        </w:tcPr>
        <w:p w:rsidR="00363CAC" w:rsidRPr="0081314A" w:rsidRDefault="00E27923" w:rsidP="00E27923">
          <w:pPr>
            <w:pStyle w:val="Encabezado"/>
            <w:jc w:val="right"/>
            <w:rPr>
              <w:rFonts w:ascii="Arial" w:hAnsi="Arial" w:cs="Arial"/>
              <w:sz w:val="24"/>
              <w:szCs w:val="24"/>
            </w:rPr>
          </w:pPr>
          <w:r w:rsidRPr="00E27923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742950" cy="765306"/>
                <wp:effectExtent l="19050" t="0" r="0" b="0"/>
                <wp:docPr id="1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61" cy="766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3CAC" w:rsidRDefault="00363C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9CB"/>
    <w:multiLevelType w:val="hybridMultilevel"/>
    <w:tmpl w:val="B2FAD29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87D68"/>
    <w:multiLevelType w:val="hybridMultilevel"/>
    <w:tmpl w:val="8B1AF7E6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C1DE4"/>
    <w:multiLevelType w:val="hybridMultilevel"/>
    <w:tmpl w:val="E50EE6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5B8F"/>
    <w:multiLevelType w:val="hybridMultilevel"/>
    <w:tmpl w:val="E3E0C8AE"/>
    <w:lvl w:ilvl="0" w:tplc="016278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281E55"/>
    <w:multiLevelType w:val="hybridMultilevel"/>
    <w:tmpl w:val="0C30E3BC"/>
    <w:lvl w:ilvl="0" w:tplc="1562B36E">
      <w:start w:val="1"/>
      <w:numFmt w:val="decimal"/>
      <w:lvlText w:val="%1-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45765A9"/>
    <w:multiLevelType w:val="hybridMultilevel"/>
    <w:tmpl w:val="211A2DC6"/>
    <w:lvl w:ilvl="0" w:tplc="925EBF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3290"/>
    <w:rsid w:val="00000AC3"/>
    <w:rsid w:val="0000225D"/>
    <w:rsid w:val="00025AB8"/>
    <w:rsid w:val="0003545E"/>
    <w:rsid w:val="000440A7"/>
    <w:rsid w:val="000505AD"/>
    <w:rsid w:val="00051735"/>
    <w:rsid w:val="0005180A"/>
    <w:rsid w:val="00070BD2"/>
    <w:rsid w:val="000B2DE6"/>
    <w:rsid w:val="000D462E"/>
    <w:rsid w:val="000E4558"/>
    <w:rsid w:val="000F084F"/>
    <w:rsid w:val="001076E0"/>
    <w:rsid w:val="00111E08"/>
    <w:rsid w:val="00122E5C"/>
    <w:rsid w:val="00125C6C"/>
    <w:rsid w:val="0015573B"/>
    <w:rsid w:val="00162E39"/>
    <w:rsid w:val="00167189"/>
    <w:rsid w:val="0019386E"/>
    <w:rsid w:val="001C2E69"/>
    <w:rsid w:val="001C3C1C"/>
    <w:rsid w:val="001C6A23"/>
    <w:rsid w:val="001E5015"/>
    <w:rsid w:val="001E623C"/>
    <w:rsid w:val="0021386E"/>
    <w:rsid w:val="00216F7B"/>
    <w:rsid w:val="0024364C"/>
    <w:rsid w:val="0025686D"/>
    <w:rsid w:val="00266A53"/>
    <w:rsid w:val="00274ED5"/>
    <w:rsid w:val="002779D3"/>
    <w:rsid w:val="002B2CB8"/>
    <w:rsid w:val="002C7AD2"/>
    <w:rsid w:val="002D1DAE"/>
    <w:rsid w:val="002E1F70"/>
    <w:rsid w:val="002E21AA"/>
    <w:rsid w:val="002F6C23"/>
    <w:rsid w:val="00314A8C"/>
    <w:rsid w:val="00331855"/>
    <w:rsid w:val="00331A13"/>
    <w:rsid w:val="003321DB"/>
    <w:rsid w:val="00334B60"/>
    <w:rsid w:val="00347E62"/>
    <w:rsid w:val="00356FB0"/>
    <w:rsid w:val="003579BF"/>
    <w:rsid w:val="00363CAC"/>
    <w:rsid w:val="00363E0C"/>
    <w:rsid w:val="00374132"/>
    <w:rsid w:val="003A55E2"/>
    <w:rsid w:val="003B4AAF"/>
    <w:rsid w:val="003B7C11"/>
    <w:rsid w:val="003C36D6"/>
    <w:rsid w:val="003D3E2C"/>
    <w:rsid w:val="003E4792"/>
    <w:rsid w:val="003E72FC"/>
    <w:rsid w:val="003F00A5"/>
    <w:rsid w:val="0042228E"/>
    <w:rsid w:val="00425EBA"/>
    <w:rsid w:val="00432553"/>
    <w:rsid w:val="00435940"/>
    <w:rsid w:val="004B7692"/>
    <w:rsid w:val="004C018B"/>
    <w:rsid w:val="004C0E2E"/>
    <w:rsid w:val="004C23A0"/>
    <w:rsid w:val="004C335D"/>
    <w:rsid w:val="004C7299"/>
    <w:rsid w:val="004D1B4B"/>
    <w:rsid w:val="004F1150"/>
    <w:rsid w:val="00550E14"/>
    <w:rsid w:val="005523E9"/>
    <w:rsid w:val="0057640B"/>
    <w:rsid w:val="00582E03"/>
    <w:rsid w:val="00585BDF"/>
    <w:rsid w:val="005A136A"/>
    <w:rsid w:val="005A2723"/>
    <w:rsid w:val="005B2DF6"/>
    <w:rsid w:val="005E084F"/>
    <w:rsid w:val="005E523C"/>
    <w:rsid w:val="005E730D"/>
    <w:rsid w:val="00641000"/>
    <w:rsid w:val="00643F29"/>
    <w:rsid w:val="00644684"/>
    <w:rsid w:val="006466CD"/>
    <w:rsid w:val="0064787A"/>
    <w:rsid w:val="00655E3C"/>
    <w:rsid w:val="00656FA5"/>
    <w:rsid w:val="00665B22"/>
    <w:rsid w:val="006A35FD"/>
    <w:rsid w:val="006B056D"/>
    <w:rsid w:val="006D7E19"/>
    <w:rsid w:val="006E79A6"/>
    <w:rsid w:val="006F20ED"/>
    <w:rsid w:val="006F6D50"/>
    <w:rsid w:val="0072151C"/>
    <w:rsid w:val="00740A7E"/>
    <w:rsid w:val="00775B08"/>
    <w:rsid w:val="00793035"/>
    <w:rsid w:val="00793F83"/>
    <w:rsid w:val="00794C9A"/>
    <w:rsid w:val="007C4A2D"/>
    <w:rsid w:val="007D19B2"/>
    <w:rsid w:val="007D7A76"/>
    <w:rsid w:val="007E3A10"/>
    <w:rsid w:val="007E46AE"/>
    <w:rsid w:val="00810667"/>
    <w:rsid w:val="008125BA"/>
    <w:rsid w:val="00812EF0"/>
    <w:rsid w:val="0081314A"/>
    <w:rsid w:val="00850EB0"/>
    <w:rsid w:val="00895043"/>
    <w:rsid w:val="008A593C"/>
    <w:rsid w:val="008B5D06"/>
    <w:rsid w:val="008B6846"/>
    <w:rsid w:val="008E3290"/>
    <w:rsid w:val="008F6A77"/>
    <w:rsid w:val="008F6F14"/>
    <w:rsid w:val="00905CF0"/>
    <w:rsid w:val="00905E6C"/>
    <w:rsid w:val="009147F2"/>
    <w:rsid w:val="009151D4"/>
    <w:rsid w:val="00943014"/>
    <w:rsid w:val="0095546F"/>
    <w:rsid w:val="009806AE"/>
    <w:rsid w:val="0098168B"/>
    <w:rsid w:val="009915AF"/>
    <w:rsid w:val="00992283"/>
    <w:rsid w:val="009A4224"/>
    <w:rsid w:val="009A716A"/>
    <w:rsid w:val="009B31B3"/>
    <w:rsid w:val="009D0159"/>
    <w:rsid w:val="009E1C56"/>
    <w:rsid w:val="009E5C9C"/>
    <w:rsid w:val="009F1571"/>
    <w:rsid w:val="00A05778"/>
    <w:rsid w:val="00A24D69"/>
    <w:rsid w:val="00A46E8E"/>
    <w:rsid w:val="00A56F7B"/>
    <w:rsid w:val="00A575EC"/>
    <w:rsid w:val="00A606F4"/>
    <w:rsid w:val="00A82C20"/>
    <w:rsid w:val="00AA4DD9"/>
    <w:rsid w:val="00AA5779"/>
    <w:rsid w:val="00AB3ECB"/>
    <w:rsid w:val="00AC2D93"/>
    <w:rsid w:val="00AE1FCB"/>
    <w:rsid w:val="00B14444"/>
    <w:rsid w:val="00B43926"/>
    <w:rsid w:val="00B45925"/>
    <w:rsid w:val="00B46E00"/>
    <w:rsid w:val="00B5426F"/>
    <w:rsid w:val="00BA3E7D"/>
    <w:rsid w:val="00BC04D5"/>
    <w:rsid w:val="00BC47C0"/>
    <w:rsid w:val="00BC5572"/>
    <w:rsid w:val="00BD3501"/>
    <w:rsid w:val="00BF18EA"/>
    <w:rsid w:val="00BF2EFF"/>
    <w:rsid w:val="00BF7530"/>
    <w:rsid w:val="00C011FA"/>
    <w:rsid w:val="00C038E0"/>
    <w:rsid w:val="00C03EB2"/>
    <w:rsid w:val="00C06FA9"/>
    <w:rsid w:val="00C22E28"/>
    <w:rsid w:val="00C400E7"/>
    <w:rsid w:val="00C41CEC"/>
    <w:rsid w:val="00C518E7"/>
    <w:rsid w:val="00C70A07"/>
    <w:rsid w:val="00C748CA"/>
    <w:rsid w:val="00CA5F30"/>
    <w:rsid w:val="00CB47B2"/>
    <w:rsid w:val="00CC22D0"/>
    <w:rsid w:val="00CE7DCD"/>
    <w:rsid w:val="00CF2367"/>
    <w:rsid w:val="00D3353B"/>
    <w:rsid w:val="00D44786"/>
    <w:rsid w:val="00D60358"/>
    <w:rsid w:val="00D87066"/>
    <w:rsid w:val="00D957BF"/>
    <w:rsid w:val="00DA185A"/>
    <w:rsid w:val="00DE386E"/>
    <w:rsid w:val="00E07948"/>
    <w:rsid w:val="00E17078"/>
    <w:rsid w:val="00E27923"/>
    <w:rsid w:val="00E64F36"/>
    <w:rsid w:val="00E73CAF"/>
    <w:rsid w:val="00E7696E"/>
    <w:rsid w:val="00E76EFC"/>
    <w:rsid w:val="00EB2456"/>
    <w:rsid w:val="00EB702F"/>
    <w:rsid w:val="00ED0E0C"/>
    <w:rsid w:val="00EE0729"/>
    <w:rsid w:val="00EF2173"/>
    <w:rsid w:val="00F06EB4"/>
    <w:rsid w:val="00F256CF"/>
    <w:rsid w:val="00F376D5"/>
    <w:rsid w:val="00F420EC"/>
    <w:rsid w:val="00F45213"/>
    <w:rsid w:val="00F6182F"/>
    <w:rsid w:val="00FA3564"/>
    <w:rsid w:val="00FB2AC8"/>
    <w:rsid w:val="00FD0508"/>
    <w:rsid w:val="00FD3AA7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2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290"/>
  </w:style>
  <w:style w:type="paragraph" w:styleId="Piedepgina">
    <w:name w:val="footer"/>
    <w:basedOn w:val="Normal"/>
    <w:link w:val="PiedepginaCar"/>
    <w:uiPriority w:val="99"/>
    <w:unhideWhenUsed/>
    <w:rsid w:val="008E32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290"/>
  </w:style>
  <w:style w:type="table" w:styleId="Tablaconcuadrcula">
    <w:name w:val="Table Grid"/>
    <w:basedOn w:val="Tablanormal"/>
    <w:uiPriority w:val="59"/>
    <w:rsid w:val="008E3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730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4">
    <w:name w:val="p4"/>
    <w:basedOn w:val="Normal"/>
    <w:rsid w:val="005E730D"/>
    <w:pPr>
      <w:widowControl w:val="0"/>
      <w:tabs>
        <w:tab w:val="left" w:pos="6650"/>
      </w:tabs>
      <w:autoSpaceDE w:val="0"/>
      <w:autoSpaceDN w:val="0"/>
      <w:adjustRightInd w:val="0"/>
      <w:ind w:left="5210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Epgrafe">
    <w:name w:val="caption"/>
    <w:basedOn w:val="Normal"/>
    <w:next w:val="Normal"/>
    <w:semiHidden/>
    <w:unhideWhenUsed/>
    <w:qFormat/>
    <w:rsid w:val="00162E39"/>
    <w:pPr>
      <w:jc w:val="center"/>
    </w:pPr>
    <w:rPr>
      <w:rFonts w:ascii="Times New Roman" w:eastAsia="Times New Roman" w:hAnsi="Times New Roman" w:cs="Times New Roman"/>
      <w:b/>
      <w:szCs w:val="20"/>
      <w:lang w:eastAsia="es-ES"/>
    </w:rPr>
  </w:style>
  <w:style w:type="paragraph" w:styleId="Listaconvietas">
    <w:name w:val="List Bullet"/>
    <w:basedOn w:val="Normal"/>
    <w:autoRedefine/>
    <w:semiHidden/>
    <w:unhideWhenUsed/>
    <w:rsid w:val="00162E39"/>
    <w:pPr>
      <w:jc w:val="right"/>
    </w:pPr>
    <w:rPr>
      <w:rFonts w:ascii="Times New Roman" w:eastAsia="Times" w:hAnsi="Times New Roman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162E39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06F4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06F4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2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290"/>
  </w:style>
  <w:style w:type="paragraph" w:styleId="Piedepgina">
    <w:name w:val="footer"/>
    <w:basedOn w:val="Normal"/>
    <w:link w:val="PiedepginaCar"/>
    <w:uiPriority w:val="99"/>
    <w:unhideWhenUsed/>
    <w:rsid w:val="008E32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290"/>
  </w:style>
  <w:style w:type="table" w:styleId="Tablaconcuadrcula">
    <w:name w:val="Table Grid"/>
    <w:basedOn w:val="Tablanormal"/>
    <w:uiPriority w:val="59"/>
    <w:rsid w:val="008E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ice.ucr.ac.cr/es/convenios/formulario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BB38-7D55-4561-8397-D7A09274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quimica</dc:creator>
  <cp:lastModifiedBy>lleon</cp:lastModifiedBy>
  <cp:revision>2</cp:revision>
  <cp:lastPrinted>2014-10-27T22:00:00Z</cp:lastPrinted>
  <dcterms:created xsi:type="dcterms:W3CDTF">2014-11-05T23:17:00Z</dcterms:created>
  <dcterms:modified xsi:type="dcterms:W3CDTF">2014-11-05T23:17:00Z</dcterms:modified>
</cp:coreProperties>
</file>