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7" w:rsidRDefault="004E78A6" w:rsidP="008B2002">
      <w:pPr>
        <w:pStyle w:val="Ttulo"/>
        <w:pBdr>
          <w:bottom w:val="single" w:sz="8" w:space="4" w:color="FFFFFF" w:themeColor="background1"/>
        </w:pBdr>
        <w:spacing w:line="276" w:lineRule="auto"/>
        <w:jc w:val="center"/>
        <w:rPr>
          <w:b/>
          <w:color w:val="FFFFFF" w:themeColor="background1"/>
          <w:sz w:val="28"/>
        </w:rPr>
      </w:pPr>
      <w:r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-25400</wp:posOffset>
            </wp:positionV>
            <wp:extent cx="5686425" cy="981075"/>
            <wp:effectExtent l="19050" t="0" r="9525" b="0"/>
            <wp:wrapNone/>
            <wp:docPr id="13" name="Imagen 1" descr="C:\Users\leidy.obandovillalob\Desktop\Leidy Priscila\Imágenes\DSC0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dy.obandovillalob\Desktop\Leidy Priscila\Imágenes\DSC01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727" r="15589" b="2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392" w:rsidRPr="00AD5779" w:rsidRDefault="000F34C2" w:rsidP="008B2002">
      <w:pPr>
        <w:pStyle w:val="Ttulo"/>
        <w:pBdr>
          <w:bottom w:val="single" w:sz="8" w:space="4" w:color="FFFFFF" w:themeColor="background1"/>
        </w:pBdr>
        <w:spacing w:line="276" w:lineRule="auto"/>
        <w:jc w:val="center"/>
        <w:rPr>
          <w:b/>
          <w:color w:val="FFFFFF" w:themeColor="background1"/>
          <w:sz w:val="28"/>
        </w:rPr>
      </w:pPr>
      <w:r w:rsidRPr="00AD5779">
        <w:rPr>
          <w:b/>
          <w:color w:val="FFFFFF" w:themeColor="background1"/>
          <w:sz w:val="28"/>
        </w:rPr>
        <w:t>Sistema de Gestión del Desempeño para el personal administrativo</w:t>
      </w:r>
      <w:r w:rsidR="00AD5779" w:rsidRPr="00AD5779">
        <w:rPr>
          <w:b/>
          <w:color w:val="FFFFFF" w:themeColor="background1"/>
          <w:sz w:val="28"/>
        </w:rPr>
        <w:t xml:space="preserve"> de la </w:t>
      </w:r>
      <w:r w:rsidRPr="00AD5779">
        <w:rPr>
          <w:b/>
          <w:color w:val="FFFFFF" w:themeColor="background1"/>
          <w:sz w:val="28"/>
        </w:rPr>
        <w:t>Universidad de Costa Rica</w:t>
      </w:r>
    </w:p>
    <w:p w:rsidR="007108D6" w:rsidRPr="00B07392" w:rsidRDefault="00DA19B8" w:rsidP="008B2002">
      <w:pPr>
        <w:spacing w:before="120" w:line="276" w:lineRule="auto"/>
        <w:jc w:val="both"/>
        <w:rPr>
          <w:rFonts w:ascii="Arial" w:hAnsi="Arial" w:cs="Arial"/>
          <w:bCs/>
        </w:rPr>
      </w:pPr>
      <w:r w:rsidRPr="00B07392">
        <w:rPr>
          <w:rFonts w:ascii="Arial" w:hAnsi="Arial" w:cs="Arial"/>
          <w:bCs/>
        </w:rPr>
        <w:t>El Si</w:t>
      </w:r>
      <w:r w:rsidR="0046095E">
        <w:rPr>
          <w:rFonts w:ascii="Arial" w:hAnsi="Arial" w:cs="Arial"/>
          <w:bCs/>
        </w:rPr>
        <w:t xml:space="preserve">stema de Gestión del Desempeño </w:t>
      </w:r>
      <w:r w:rsidRPr="00B07392">
        <w:rPr>
          <w:rFonts w:ascii="Arial" w:hAnsi="Arial" w:cs="Arial"/>
          <w:bCs/>
        </w:rPr>
        <w:t xml:space="preserve">para el personal administrativo surge como iniciativa desde hace más de </w:t>
      </w:r>
      <w:r w:rsidR="00293E13" w:rsidRPr="00B07392">
        <w:rPr>
          <w:rFonts w:ascii="Arial" w:hAnsi="Arial" w:cs="Arial"/>
          <w:bCs/>
        </w:rPr>
        <w:t>una década</w:t>
      </w:r>
      <w:r w:rsidRPr="00B07392">
        <w:rPr>
          <w:rFonts w:ascii="Arial" w:hAnsi="Arial" w:cs="Arial"/>
          <w:bCs/>
        </w:rPr>
        <w:t xml:space="preserve"> en el seno del Consejo Universita</w:t>
      </w:r>
      <w:r w:rsidR="0046095E">
        <w:rPr>
          <w:rFonts w:ascii="Arial" w:hAnsi="Arial" w:cs="Arial"/>
          <w:bCs/>
        </w:rPr>
        <w:t xml:space="preserve">rio. Luego de varios esfuerzos </w:t>
      </w:r>
      <w:r w:rsidRPr="00B07392">
        <w:rPr>
          <w:rFonts w:ascii="Arial" w:hAnsi="Arial" w:cs="Arial"/>
          <w:bCs/>
        </w:rPr>
        <w:t>direccionados por la Oficina de Recursos Humanos</w:t>
      </w:r>
      <w:r w:rsidR="00293E13" w:rsidRPr="00B07392">
        <w:rPr>
          <w:rFonts w:ascii="Arial" w:hAnsi="Arial" w:cs="Arial"/>
          <w:bCs/>
        </w:rPr>
        <w:t xml:space="preserve"> y posterior a un período</w:t>
      </w:r>
      <w:r w:rsidR="00631880" w:rsidRPr="00B07392">
        <w:rPr>
          <w:rFonts w:ascii="Arial" w:hAnsi="Arial" w:cs="Arial"/>
          <w:bCs/>
        </w:rPr>
        <w:t xml:space="preserve"> de aproximadamente cinco años de</w:t>
      </w:r>
      <w:r w:rsidR="00293E13" w:rsidRPr="00B07392">
        <w:rPr>
          <w:rFonts w:ascii="Arial" w:hAnsi="Arial" w:cs="Arial"/>
          <w:bCs/>
        </w:rPr>
        <w:t xml:space="preserve"> validación </w:t>
      </w:r>
      <w:r w:rsidR="00631880" w:rsidRPr="00B07392">
        <w:rPr>
          <w:rFonts w:ascii="Arial" w:hAnsi="Arial" w:cs="Arial"/>
          <w:bCs/>
        </w:rPr>
        <w:t>de un</w:t>
      </w:r>
      <w:r w:rsidR="006D11F0">
        <w:rPr>
          <w:rFonts w:ascii="Arial" w:hAnsi="Arial" w:cs="Arial"/>
          <w:bCs/>
        </w:rPr>
        <w:t>a</w:t>
      </w:r>
      <w:r w:rsidR="00631880" w:rsidRPr="00B07392">
        <w:rPr>
          <w:rFonts w:ascii="Arial" w:hAnsi="Arial" w:cs="Arial"/>
          <w:bCs/>
        </w:rPr>
        <w:t xml:space="preserve"> propuesta evaluativa, </w:t>
      </w:r>
      <w:r w:rsidR="00293E13" w:rsidRPr="00B07392">
        <w:rPr>
          <w:rFonts w:ascii="Arial" w:hAnsi="Arial" w:cs="Arial"/>
          <w:bCs/>
        </w:rPr>
        <w:t>éste Órgano Superior en sesión No</w:t>
      </w:r>
      <w:r w:rsidR="00631880" w:rsidRPr="00B07392">
        <w:rPr>
          <w:rFonts w:ascii="Arial" w:hAnsi="Arial" w:cs="Arial"/>
          <w:bCs/>
        </w:rPr>
        <w:t xml:space="preserve"> </w:t>
      </w:r>
      <w:r w:rsidR="00293E13" w:rsidRPr="00B07392">
        <w:rPr>
          <w:rFonts w:ascii="Arial" w:hAnsi="Arial" w:cs="Arial"/>
          <w:bCs/>
        </w:rPr>
        <w:t>5752, ar</w:t>
      </w:r>
      <w:r w:rsidR="00631880" w:rsidRPr="00B07392">
        <w:rPr>
          <w:rFonts w:ascii="Arial" w:hAnsi="Arial" w:cs="Arial"/>
          <w:bCs/>
        </w:rPr>
        <w:t>tículo 13 de setiembre del 2013,</w:t>
      </w:r>
      <w:r w:rsidR="00293E13" w:rsidRPr="00B07392">
        <w:rPr>
          <w:rFonts w:ascii="Arial" w:hAnsi="Arial" w:cs="Arial"/>
          <w:bCs/>
        </w:rPr>
        <w:t xml:space="preserve"> da por cumplido el acuerdo solicitado en el año 2006</w:t>
      </w:r>
      <w:r w:rsidR="00C54418" w:rsidRPr="00B07392">
        <w:rPr>
          <w:rFonts w:ascii="Arial" w:hAnsi="Arial" w:cs="Arial"/>
          <w:bCs/>
        </w:rPr>
        <w:t>,</w:t>
      </w:r>
      <w:r w:rsidR="00293E13" w:rsidRPr="00B07392">
        <w:rPr>
          <w:rFonts w:ascii="Arial" w:hAnsi="Arial" w:cs="Arial"/>
          <w:bCs/>
        </w:rPr>
        <w:t xml:space="preserve"> </w:t>
      </w:r>
      <w:r w:rsidR="00631880" w:rsidRPr="00B07392">
        <w:rPr>
          <w:rFonts w:ascii="Arial" w:hAnsi="Arial" w:cs="Arial"/>
          <w:bCs/>
        </w:rPr>
        <w:t xml:space="preserve">referente a </w:t>
      </w:r>
      <w:r w:rsidR="00293E13" w:rsidRPr="00B07392">
        <w:rPr>
          <w:rFonts w:ascii="Arial" w:hAnsi="Arial" w:cs="Arial"/>
          <w:bCs/>
        </w:rPr>
        <w:t>la solicitud</w:t>
      </w:r>
      <w:r w:rsidR="00631880" w:rsidRPr="00B07392">
        <w:rPr>
          <w:rFonts w:ascii="Arial" w:hAnsi="Arial" w:cs="Arial"/>
          <w:bCs/>
        </w:rPr>
        <w:t xml:space="preserve"> de una p</w:t>
      </w:r>
      <w:r w:rsidR="00293E13" w:rsidRPr="00B07392">
        <w:rPr>
          <w:rFonts w:ascii="Arial" w:hAnsi="Arial" w:cs="Arial"/>
          <w:bCs/>
        </w:rPr>
        <w:t xml:space="preserve">ropuesta de Evaluación del Desempeño para el </w:t>
      </w:r>
      <w:r w:rsidR="00631880" w:rsidRPr="00B07392">
        <w:rPr>
          <w:rFonts w:ascii="Arial" w:hAnsi="Arial" w:cs="Arial"/>
          <w:bCs/>
        </w:rPr>
        <w:t xml:space="preserve">sector </w:t>
      </w:r>
      <w:r w:rsidR="00293E13" w:rsidRPr="00B07392">
        <w:rPr>
          <w:rFonts w:ascii="Arial" w:hAnsi="Arial" w:cs="Arial"/>
          <w:bCs/>
        </w:rPr>
        <w:t>administrativo de la Institución.</w:t>
      </w:r>
    </w:p>
    <w:p w:rsidR="00C54418" w:rsidRDefault="007108D6" w:rsidP="008B2002">
      <w:pPr>
        <w:spacing w:line="276" w:lineRule="auto"/>
        <w:jc w:val="both"/>
        <w:rPr>
          <w:rFonts w:ascii="Arial" w:hAnsi="Arial" w:cs="Arial"/>
          <w:bCs/>
        </w:rPr>
      </w:pPr>
      <w:r w:rsidRPr="00B07392">
        <w:rPr>
          <w:rFonts w:ascii="Arial" w:hAnsi="Arial" w:cs="Arial"/>
          <w:bCs/>
        </w:rPr>
        <w:t>El propósito del Sistema</w:t>
      </w:r>
      <w:r w:rsidR="0047129C" w:rsidRPr="00B07392">
        <w:rPr>
          <w:rFonts w:ascii="Arial" w:hAnsi="Arial" w:cs="Arial"/>
          <w:bCs/>
        </w:rPr>
        <w:t>,</w:t>
      </w:r>
      <w:r w:rsidR="00E3323D" w:rsidRPr="00B07392">
        <w:rPr>
          <w:rFonts w:ascii="Arial" w:hAnsi="Arial" w:cs="Arial"/>
          <w:bCs/>
        </w:rPr>
        <w:t xml:space="preserve"> </w:t>
      </w:r>
      <w:r w:rsidR="001133BD" w:rsidRPr="00B07392">
        <w:rPr>
          <w:rFonts w:ascii="Arial" w:hAnsi="Arial" w:cs="Arial"/>
          <w:bCs/>
        </w:rPr>
        <w:t xml:space="preserve">desde </w:t>
      </w:r>
      <w:r w:rsidR="00E3323D" w:rsidRPr="00B07392">
        <w:rPr>
          <w:rFonts w:ascii="Arial" w:hAnsi="Arial" w:cs="Arial"/>
          <w:bCs/>
        </w:rPr>
        <w:t xml:space="preserve">un enfoque humanista, </w:t>
      </w:r>
      <w:r w:rsidR="00D55BE8" w:rsidRPr="00B07392">
        <w:rPr>
          <w:rFonts w:ascii="Arial" w:hAnsi="Arial" w:cs="Arial"/>
          <w:bCs/>
        </w:rPr>
        <w:t xml:space="preserve">es </w:t>
      </w:r>
      <w:r w:rsidR="001133BD" w:rsidRPr="00B07392">
        <w:rPr>
          <w:rFonts w:ascii="Arial" w:hAnsi="Arial" w:cs="Arial"/>
          <w:bCs/>
        </w:rPr>
        <w:t>implementar una cultura evaluativa que promueva la mejora continua d</w:t>
      </w:r>
      <w:r w:rsidR="001E201F">
        <w:rPr>
          <w:rFonts w:ascii="Arial" w:hAnsi="Arial" w:cs="Arial"/>
          <w:bCs/>
        </w:rPr>
        <w:t>e los funcionarios y funcionaria</w:t>
      </w:r>
      <w:r w:rsidR="006D11F0">
        <w:rPr>
          <w:rFonts w:ascii="Arial" w:hAnsi="Arial" w:cs="Arial"/>
          <w:bCs/>
        </w:rPr>
        <w:t>s y el fortalecimiento</w:t>
      </w:r>
      <w:r w:rsidR="00C54418" w:rsidRPr="00B07392">
        <w:rPr>
          <w:rFonts w:ascii="Arial" w:hAnsi="Arial" w:cs="Arial"/>
          <w:bCs/>
        </w:rPr>
        <w:t xml:space="preserve"> en la </w:t>
      </w:r>
      <w:r w:rsidR="00D43DE3">
        <w:rPr>
          <w:rFonts w:ascii="Arial" w:hAnsi="Arial" w:cs="Arial"/>
          <w:bCs/>
        </w:rPr>
        <w:t>eficiencia administrativa.</w:t>
      </w:r>
    </w:p>
    <w:p w:rsidR="00115AB1" w:rsidRDefault="00115AB1" w:rsidP="000402C0">
      <w:pPr>
        <w:pStyle w:val="Ttulo1"/>
        <w:spacing w:before="240" w:line="276" w:lineRule="auto"/>
      </w:pPr>
      <w:r>
        <w:t>Estrategia de implementación</w:t>
      </w:r>
    </w:p>
    <w:p w:rsidR="00860907" w:rsidRDefault="0046095E" w:rsidP="008B200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 su</w:t>
      </w:r>
      <w:r w:rsidR="003E092D" w:rsidRPr="00B07392">
        <w:rPr>
          <w:rFonts w:ascii="Arial" w:hAnsi="Arial" w:cs="Arial"/>
          <w:bCs/>
        </w:rPr>
        <w:t xml:space="preserve"> ejecución </w:t>
      </w:r>
      <w:r w:rsidR="00D43DE3">
        <w:rPr>
          <w:rFonts w:ascii="Arial" w:hAnsi="Arial" w:cs="Arial"/>
          <w:bCs/>
        </w:rPr>
        <w:t>se ha establecido la siguiente</w:t>
      </w:r>
      <w:r w:rsidR="001133BD" w:rsidRPr="00B07392">
        <w:rPr>
          <w:rFonts w:ascii="Arial" w:hAnsi="Arial" w:cs="Arial"/>
          <w:bCs/>
        </w:rPr>
        <w:t xml:space="preserve"> estrategia metodológica:</w:t>
      </w:r>
    </w:p>
    <w:p w:rsidR="00860907" w:rsidRPr="000402C0" w:rsidRDefault="001133BD" w:rsidP="000402C0">
      <w:pPr>
        <w:pStyle w:val="Prrafodelista"/>
        <w:numPr>
          <w:ilvl w:val="0"/>
          <w:numId w:val="6"/>
        </w:numPr>
        <w:spacing w:before="120" w:line="276" w:lineRule="auto"/>
        <w:ind w:left="426"/>
        <w:jc w:val="both"/>
        <w:rPr>
          <w:rFonts w:ascii="Arial" w:hAnsi="Arial" w:cs="Arial"/>
          <w:bCs/>
        </w:rPr>
      </w:pPr>
      <w:r w:rsidRPr="00EE38FB">
        <w:rPr>
          <w:rFonts w:ascii="Arial" w:hAnsi="Arial" w:cs="Arial"/>
          <w:bCs/>
        </w:rPr>
        <w:t>Reunión</w:t>
      </w:r>
      <w:r w:rsidR="00712EAE" w:rsidRPr="00EE38FB">
        <w:rPr>
          <w:rFonts w:ascii="Arial" w:hAnsi="Arial" w:cs="Arial"/>
          <w:bCs/>
        </w:rPr>
        <w:t xml:space="preserve"> con los niveles de Dirección, J</w:t>
      </w:r>
      <w:r w:rsidRPr="00EE38FB">
        <w:rPr>
          <w:rFonts w:ascii="Arial" w:hAnsi="Arial" w:cs="Arial"/>
          <w:bCs/>
        </w:rPr>
        <w:t xml:space="preserve">efaturas y </w:t>
      </w:r>
      <w:r w:rsidR="00712EAE" w:rsidRPr="00EE38FB">
        <w:rPr>
          <w:rFonts w:ascii="Arial" w:hAnsi="Arial" w:cs="Arial"/>
          <w:bCs/>
        </w:rPr>
        <w:t>Consejo A</w:t>
      </w:r>
      <w:r w:rsidR="00C54418" w:rsidRPr="00EE38FB">
        <w:rPr>
          <w:rFonts w:ascii="Arial" w:hAnsi="Arial" w:cs="Arial"/>
          <w:bCs/>
        </w:rPr>
        <w:t xml:space="preserve">sesor, </w:t>
      </w:r>
      <w:r w:rsidR="00E3323D" w:rsidRPr="00EE38FB">
        <w:rPr>
          <w:rFonts w:ascii="Arial" w:hAnsi="Arial" w:cs="Arial"/>
          <w:bCs/>
        </w:rPr>
        <w:t>con el fin de explicar</w:t>
      </w:r>
      <w:r w:rsidR="00C54418" w:rsidRPr="00EE38FB">
        <w:rPr>
          <w:rFonts w:ascii="Arial" w:hAnsi="Arial" w:cs="Arial"/>
          <w:bCs/>
        </w:rPr>
        <w:t xml:space="preserve"> a los niveles decisorios</w:t>
      </w:r>
      <w:r w:rsidR="00E3323D" w:rsidRPr="00EE38FB">
        <w:rPr>
          <w:rFonts w:ascii="Arial" w:hAnsi="Arial" w:cs="Arial"/>
          <w:bCs/>
        </w:rPr>
        <w:t>,</w:t>
      </w:r>
      <w:r w:rsidR="00C54418" w:rsidRPr="00EE38FB">
        <w:rPr>
          <w:rFonts w:ascii="Arial" w:hAnsi="Arial" w:cs="Arial"/>
          <w:bCs/>
        </w:rPr>
        <w:t xml:space="preserve"> en </w:t>
      </w:r>
      <w:r w:rsidR="00E3323D" w:rsidRPr="00EE38FB">
        <w:rPr>
          <w:rFonts w:ascii="Arial" w:hAnsi="Arial" w:cs="Arial"/>
          <w:bCs/>
        </w:rPr>
        <w:t>qué</w:t>
      </w:r>
      <w:r w:rsidR="00D43DE3" w:rsidRPr="00EE38FB">
        <w:rPr>
          <w:rFonts w:ascii="Arial" w:hAnsi="Arial" w:cs="Arial"/>
          <w:bCs/>
        </w:rPr>
        <w:t xml:space="preserve"> consiste el Sistema </w:t>
      </w:r>
      <w:r w:rsidR="00C54418" w:rsidRPr="00EE38FB">
        <w:rPr>
          <w:rFonts w:ascii="Arial" w:hAnsi="Arial" w:cs="Arial"/>
          <w:bCs/>
        </w:rPr>
        <w:t>y el compromiso que éstos adquieren para el buen desarrollo de mismo en la Unidad de Trabajo</w:t>
      </w:r>
      <w:r w:rsidR="00712EAE" w:rsidRPr="00EE38FB">
        <w:rPr>
          <w:rFonts w:ascii="Arial" w:hAnsi="Arial" w:cs="Arial"/>
          <w:bCs/>
        </w:rPr>
        <w:t>.</w:t>
      </w:r>
    </w:p>
    <w:p w:rsidR="00860907" w:rsidRPr="000402C0" w:rsidRDefault="00C54418" w:rsidP="00860907">
      <w:pPr>
        <w:pStyle w:val="Prrafodelista"/>
        <w:numPr>
          <w:ilvl w:val="0"/>
          <w:numId w:val="6"/>
        </w:numPr>
        <w:spacing w:before="120" w:line="276" w:lineRule="auto"/>
        <w:ind w:left="426"/>
        <w:jc w:val="both"/>
        <w:rPr>
          <w:rFonts w:ascii="Arial" w:hAnsi="Arial" w:cs="Arial"/>
          <w:bCs/>
        </w:rPr>
      </w:pPr>
      <w:r w:rsidRPr="000402C0">
        <w:rPr>
          <w:rFonts w:ascii="Arial" w:hAnsi="Arial" w:cs="Arial"/>
          <w:bCs/>
        </w:rPr>
        <w:t>Taller de Sensibilización al personal administrativo de la Unidad participan</w:t>
      </w:r>
      <w:r w:rsidR="00E3323D" w:rsidRPr="000402C0">
        <w:rPr>
          <w:rFonts w:ascii="Arial" w:hAnsi="Arial" w:cs="Arial"/>
          <w:bCs/>
        </w:rPr>
        <w:t xml:space="preserve">te, con el objetivo de exponer </w:t>
      </w:r>
      <w:r w:rsidR="00D43DE3" w:rsidRPr="000402C0">
        <w:rPr>
          <w:rFonts w:ascii="Arial" w:hAnsi="Arial" w:cs="Arial"/>
          <w:bCs/>
        </w:rPr>
        <w:t>el proceso evaluativo a seguir.</w:t>
      </w:r>
    </w:p>
    <w:p w:rsidR="00860907" w:rsidRPr="000402C0" w:rsidRDefault="00C54418" w:rsidP="00860907">
      <w:pPr>
        <w:pStyle w:val="Prrafodelista"/>
        <w:numPr>
          <w:ilvl w:val="0"/>
          <w:numId w:val="6"/>
        </w:numPr>
        <w:spacing w:before="120" w:line="276" w:lineRule="auto"/>
        <w:ind w:left="426"/>
        <w:jc w:val="both"/>
        <w:rPr>
          <w:rFonts w:ascii="Arial" w:hAnsi="Arial" w:cs="Arial"/>
          <w:bCs/>
        </w:rPr>
      </w:pPr>
      <w:r w:rsidRPr="000402C0">
        <w:rPr>
          <w:rFonts w:ascii="Arial" w:hAnsi="Arial" w:cs="Arial"/>
          <w:bCs/>
        </w:rPr>
        <w:t>Vinculación del Plan Estratégico, Lineamiento o Plan Operativo con el proceso de Gestión del Desempeño. La idea es vincularlo con el quehacer de los funcionarios y funcionarias.</w:t>
      </w:r>
    </w:p>
    <w:p w:rsidR="00860907" w:rsidRPr="000402C0" w:rsidRDefault="00C54418" w:rsidP="00860907">
      <w:pPr>
        <w:pStyle w:val="Prrafodelista"/>
        <w:numPr>
          <w:ilvl w:val="0"/>
          <w:numId w:val="6"/>
        </w:numPr>
        <w:spacing w:before="120" w:line="276" w:lineRule="auto"/>
        <w:ind w:left="426"/>
        <w:jc w:val="both"/>
        <w:rPr>
          <w:rFonts w:ascii="Arial" w:hAnsi="Arial" w:cs="Arial"/>
          <w:bCs/>
        </w:rPr>
      </w:pPr>
      <w:r w:rsidRPr="000402C0">
        <w:rPr>
          <w:rFonts w:ascii="Arial" w:hAnsi="Arial" w:cs="Arial"/>
          <w:bCs/>
        </w:rPr>
        <w:t>Elaboración de las me</w:t>
      </w:r>
      <w:r w:rsidR="006E2620" w:rsidRPr="000402C0">
        <w:rPr>
          <w:rFonts w:ascii="Arial" w:hAnsi="Arial" w:cs="Arial"/>
          <w:bCs/>
        </w:rPr>
        <w:t xml:space="preserve">tas y </w:t>
      </w:r>
      <w:r w:rsidR="001E201F" w:rsidRPr="000402C0">
        <w:rPr>
          <w:rFonts w:ascii="Arial" w:hAnsi="Arial" w:cs="Arial"/>
          <w:bCs/>
        </w:rPr>
        <w:t xml:space="preserve">revisión </w:t>
      </w:r>
      <w:r w:rsidR="006E2620" w:rsidRPr="000402C0">
        <w:rPr>
          <w:rFonts w:ascii="Arial" w:hAnsi="Arial" w:cs="Arial"/>
          <w:bCs/>
        </w:rPr>
        <w:t>de la</w:t>
      </w:r>
      <w:r w:rsidR="001E201F" w:rsidRPr="000402C0">
        <w:rPr>
          <w:rFonts w:ascii="Arial" w:hAnsi="Arial" w:cs="Arial"/>
          <w:bCs/>
        </w:rPr>
        <w:t>s</w:t>
      </w:r>
      <w:r w:rsidR="006E2620" w:rsidRPr="000402C0">
        <w:rPr>
          <w:rFonts w:ascii="Arial" w:hAnsi="Arial" w:cs="Arial"/>
          <w:bCs/>
        </w:rPr>
        <w:t xml:space="preserve"> competencias</w:t>
      </w:r>
      <w:r w:rsidR="001E201F" w:rsidRPr="000402C0">
        <w:rPr>
          <w:rFonts w:ascii="Arial" w:hAnsi="Arial" w:cs="Arial"/>
          <w:bCs/>
        </w:rPr>
        <w:t xml:space="preserve"> </w:t>
      </w:r>
      <w:r w:rsidR="007C349E">
        <w:rPr>
          <w:rFonts w:ascii="Arial" w:hAnsi="Arial" w:cs="Arial"/>
          <w:bCs/>
        </w:rPr>
        <w:t>institucionales</w:t>
      </w:r>
      <w:r w:rsidRPr="000402C0">
        <w:rPr>
          <w:rFonts w:ascii="Arial" w:hAnsi="Arial" w:cs="Arial"/>
          <w:bCs/>
        </w:rPr>
        <w:t xml:space="preserve">, labor conjunta entre jefatura inmediata </w:t>
      </w:r>
      <w:r w:rsidR="00D43DE3" w:rsidRPr="000402C0">
        <w:rPr>
          <w:rFonts w:ascii="Arial" w:hAnsi="Arial" w:cs="Arial"/>
          <w:bCs/>
        </w:rPr>
        <w:t>y el funcionario o funcionaria.</w:t>
      </w:r>
    </w:p>
    <w:p w:rsidR="00BD26E6" w:rsidRPr="000402C0" w:rsidRDefault="00C54418" w:rsidP="00BD26E6">
      <w:pPr>
        <w:pStyle w:val="Prrafodelista"/>
        <w:numPr>
          <w:ilvl w:val="0"/>
          <w:numId w:val="6"/>
        </w:numPr>
        <w:spacing w:before="120" w:line="276" w:lineRule="auto"/>
        <w:ind w:left="426"/>
        <w:jc w:val="both"/>
        <w:rPr>
          <w:rFonts w:ascii="Arial" w:hAnsi="Arial" w:cs="Arial"/>
          <w:bCs/>
        </w:rPr>
      </w:pPr>
      <w:r w:rsidRPr="000402C0">
        <w:rPr>
          <w:rFonts w:ascii="Arial" w:hAnsi="Arial" w:cs="Arial"/>
          <w:bCs/>
        </w:rPr>
        <w:t>Seguimiento, lo cual busca valorar el desarrollo del proceso y</w:t>
      </w:r>
      <w:r w:rsidR="00712EAE" w:rsidRPr="000402C0">
        <w:rPr>
          <w:rFonts w:ascii="Arial" w:hAnsi="Arial" w:cs="Arial"/>
          <w:bCs/>
        </w:rPr>
        <w:t xml:space="preserve"> los ajustes que se han tenido q</w:t>
      </w:r>
      <w:r w:rsidRPr="000402C0">
        <w:rPr>
          <w:rFonts w:ascii="Arial" w:hAnsi="Arial" w:cs="Arial"/>
          <w:bCs/>
        </w:rPr>
        <w:t xml:space="preserve">ue </w:t>
      </w:r>
      <w:r w:rsidR="00712EAE" w:rsidRPr="000402C0">
        <w:rPr>
          <w:rFonts w:ascii="Arial" w:hAnsi="Arial" w:cs="Arial"/>
          <w:bCs/>
        </w:rPr>
        <w:t>efectuar o los que se deben de realizar para el mejor desempeño.</w:t>
      </w:r>
    </w:p>
    <w:p w:rsidR="007567FC" w:rsidRDefault="00712EAE" w:rsidP="008B2002">
      <w:pPr>
        <w:pStyle w:val="Prrafodelist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EE38FB">
        <w:rPr>
          <w:rFonts w:ascii="Arial" w:hAnsi="Arial" w:cs="Arial"/>
          <w:bCs/>
        </w:rPr>
        <w:t>Revisión anual del cumplimiento de las metas y de las competencias, con el objetivo de valorar el desempeño alcanzado</w:t>
      </w:r>
      <w:r w:rsidR="007D11A3" w:rsidRPr="00EE38FB">
        <w:rPr>
          <w:rFonts w:ascii="Arial" w:hAnsi="Arial" w:cs="Arial"/>
          <w:bCs/>
        </w:rPr>
        <w:t>, mediante un realimentación mutua je</w:t>
      </w:r>
      <w:r w:rsidR="001E201F" w:rsidRPr="00EE38FB">
        <w:rPr>
          <w:rFonts w:ascii="Arial" w:hAnsi="Arial" w:cs="Arial"/>
          <w:bCs/>
        </w:rPr>
        <w:t xml:space="preserve">fatura-funcionario, funcionaria </w:t>
      </w:r>
      <w:r w:rsidRPr="00EE38FB">
        <w:rPr>
          <w:rFonts w:ascii="Arial" w:hAnsi="Arial" w:cs="Arial"/>
          <w:bCs/>
        </w:rPr>
        <w:t>y</w:t>
      </w:r>
      <w:r w:rsidR="001E201F" w:rsidRPr="00EE38FB">
        <w:rPr>
          <w:rFonts w:ascii="Arial" w:hAnsi="Arial" w:cs="Arial"/>
          <w:bCs/>
        </w:rPr>
        <w:t xml:space="preserve"> plantear los planes de mejora, hacia </w:t>
      </w:r>
      <w:r w:rsidRPr="00EE38FB">
        <w:rPr>
          <w:rFonts w:ascii="Arial" w:hAnsi="Arial" w:cs="Arial"/>
          <w:bCs/>
        </w:rPr>
        <w:t>un desempeño laboral más eficiente y una gestión de la</w:t>
      </w:r>
      <w:r w:rsidR="00E3323D" w:rsidRPr="00EE38FB">
        <w:rPr>
          <w:rFonts w:ascii="Arial" w:hAnsi="Arial" w:cs="Arial"/>
          <w:bCs/>
        </w:rPr>
        <w:t xml:space="preserve"> </w:t>
      </w:r>
      <w:r w:rsidRPr="00EE38FB">
        <w:rPr>
          <w:rFonts w:ascii="Arial" w:hAnsi="Arial" w:cs="Arial"/>
          <w:bCs/>
        </w:rPr>
        <w:t>Unidad de Trabajo más ágil, con una visión integradora de los diferentes procesos al interno de la mism</w:t>
      </w:r>
      <w:r w:rsidR="00D43DE3" w:rsidRPr="00EE38FB">
        <w:rPr>
          <w:rFonts w:ascii="Arial" w:hAnsi="Arial" w:cs="Arial"/>
          <w:bCs/>
        </w:rPr>
        <w:t>a.</w:t>
      </w:r>
    </w:p>
    <w:p w:rsidR="00345224" w:rsidRDefault="004E78A6" w:rsidP="000402C0">
      <w:pPr>
        <w:pStyle w:val="Ttulo1"/>
        <w:spacing w:before="240" w:line="276" w:lineRule="auto"/>
      </w:pPr>
      <w:r>
        <w:lastRenderedPageBreak/>
        <w:t>Implementación del sistema</w:t>
      </w:r>
    </w:p>
    <w:p w:rsidR="00EF2CCF" w:rsidRDefault="00EF2CCF" w:rsidP="008B2002">
      <w:pPr>
        <w:spacing w:before="120" w:line="276" w:lineRule="auto"/>
        <w:ind w:left="66"/>
        <w:jc w:val="both"/>
        <w:rPr>
          <w:rFonts w:ascii="Arial" w:hAnsi="Arial" w:cs="Arial"/>
          <w:bCs/>
        </w:rPr>
      </w:pPr>
      <w:r w:rsidRPr="008B2002">
        <w:rPr>
          <w:rFonts w:ascii="Arial" w:hAnsi="Arial" w:cs="Arial"/>
          <w:bCs/>
        </w:rPr>
        <w:t xml:space="preserve">Desde el año 2008 hasta el mes de </w:t>
      </w:r>
      <w:r w:rsidR="007C349E">
        <w:rPr>
          <w:rFonts w:ascii="Arial" w:hAnsi="Arial" w:cs="Arial"/>
          <w:bCs/>
        </w:rPr>
        <w:t>enero de 2017</w:t>
      </w:r>
      <w:r w:rsidRPr="008B2002">
        <w:rPr>
          <w:rFonts w:ascii="Arial" w:hAnsi="Arial" w:cs="Arial"/>
          <w:bCs/>
        </w:rPr>
        <w:t xml:space="preserve"> se han incorporado al proceso de Gestión del Desempeño un total de 2</w:t>
      </w:r>
      <w:r w:rsidR="007C349E">
        <w:rPr>
          <w:rFonts w:ascii="Arial" w:hAnsi="Arial" w:cs="Arial"/>
          <w:bCs/>
        </w:rPr>
        <w:t>790</w:t>
      </w:r>
      <w:r w:rsidR="0063782D">
        <w:rPr>
          <w:rFonts w:ascii="Arial" w:hAnsi="Arial" w:cs="Arial"/>
          <w:bCs/>
        </w:rPr>
        <w:t xml:space="preserve"> </w:t>
      </w:r>
      <w:r w:rsidRPr="008B2002">
        <w:rPr>
          <w:rFonts w:ascii="Arial" w:hAnsi="Arial" w:cs="Arial"/>
          <w:bCs/>
        </w:rPr>
        <w:t>funcionarios y funcionarias (6</w:t>
      </w:r>
      <w:r w:rsidR="007C349E">
        <w:rPr>
          <w:rFonts w:ascii="Arial" w:hAnsi="Arial" w:cs="Arial"/>
          <w:bCs/>
        </w:rPr>
        <w:t>8</w:t>
      </w:r>
      <w:r w:rsidRPr="008B2002">
        <w:rPr>
          <w:rFonts w:ascii="Arial" w:hAnsi="Arial" w:cs="Arial"/>
          <w:bCs/>
        </w:rPr>
        <w:t xml:space="preserve">%, sin tomar en cuenta aquellas unidades en las que se sólo se ha realizado la </w:t>
      </w:r>
      <w:r w:rsidR="00B42AD9">
        <w:rPr>
          <w:rFonts w:ascii="Arial" w:hAnsi="Arial" w:cs="Arial"/>
          <w:bCs/>
        </w:rPr>
        <w:t>reunión de compromiso inicial) correspondientes a 1</w:t>
      </w:r>
      <w:r w:rsidR="00CA1C28">
        <w:rPr>
          <w:rFonts w:ascii="Arial" w:hAnsi="Arial" w:cs="Arial"/>
          <w:bCs/>
        </w:rPr>
        <w:t>06</w:t>
      </w:r>
      <w:r w:rsidR="00B42AD9">
        <w:rPr>
          <w:rFonts w:ascii="Arial" w:hAnsi="Arial" w:cs="Arial"/>
          <w:bCs/>
        </w:rPr>
        <w:t xml:space="preserve"> unidades o dependencias </w:t>
      </w:r>
      <w:r w:rsidR="00B42AD9" w:rsidRPr="008B2002">
        <w:rPr>
          <w:rFonts w:ascii="Arial" w:hAnsi="Arial" w:cs="Arial"/>
          <w:bCs/>
        </w:rPr>
        <w:t>(Oficinas, Centros, Institutos, Escuelas, Facultades, Estaciones experimentales, Sedes y Recintos)</w:t>
      </w:r>
      <w:r w:rsidR="00B42AD9">
        <w:rPr>
          <w:rFonts w:ascii="Arial" w:hAnsi="Arial" w:cs="Arial"/>
          <w:bCs/>
        </w:rPr>
        <w:t xml:space="preserve"> y se ha tenido contacto inicial con</w:t>
      </w:r>
      <w:r w:rsidRPr="008B2002">
        <w:rPr>
          <w:rFonts w:ascii="Arial" w:hAnsi="Arial" w:cs="Arial"/>
          <w:bCs/>
        </w:rPr>
        <w:t xml:space="preserve"> </w:t>
      </w:r>
      <w:r w:rsidR="0077212E">
        <w:rPr>
          <w:rFonts w:ascii="Arial" w:hAnsi="Arial" w:cs="Arial"/>
          <w:bCs/>
        </w:rPr>
        <w:t>1</w:t>
      </w:r>
      <w:r w:rsidR="00CA1C28">
        <w:rPr>
          <w:rFonts w:ascii="Arial" w:hAnsi="Arial" w:cs="Arial"/>
          <w:bCs/>
        </w:rPr>
        <w:t>5</w:t>
      </w:r>
      <w:r w:rsidRPr="008B2002">
        <w:rPr>
          <w:rFonts w:ascii="Arial" w:hAnsi="Arial" w:cs="Arial"/>
          <w:bCs/>
        </w:rPr>
        <w:t xml:space="preserve"> </w:t>
      </w:r>
      <w:r w:rsidR="00B42AD9">
        <w:rPr>
          <w:rFonts w:ascii="Arial" w:hAnsi="Arial" w:cs="Arial"/>
          <w:bCs/>
        </w:rPr>
        <w:t>más</w:t>
      </w:r>
      <w:r w:rsidR="0077212E">
        <w:rPr>
          <w:rFonts w:ascii="Arial" w:hAnsi="Arial" w:cs="Arial"/>
          <w:bCs/>
        </w:rPr>
        <w:t>.</w:t>
      </w:r>
    </w:p>
    <w:p w:rsidR="004C0502" w:rsidRDefault="004C0502" w:rsidP="008B2002">
      <w:pPr>
        <w:spacing w:before="120" w:line="276" w:lineRule="auto"/>
        <w:ind w:left="66"/>
        <w:jc w:val="both"/>
        <w:rPr>
          <w:rFonts w:ascii="Arial" w:hAnsi="Arial" w:cs="Arial"/>
          <w:bCs/>
        </w:rPr>
      </w:pPr>
    </w:p>
    <w:tbl>
      <w:tblPr>
        <w:tblW w:w="907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69"/>
      </w:tblGrid>
      <w:tr w:rsidR="004A7C41" w:rsidRPr="0059487D" w:rsidTr="004A7C41">
        <w:trPr>
          <w:trHeight w:val="314"/>
          <w:jc w:val="center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59487D" w:rsidRDefault="004A7C41" w:rsidP="0059487D">
            <w:pPr>
              <w:spacing w:after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</w:pPr>
            <w:r w:rsidRPr="0059487D"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  <w:t>Total de personas en el proceso por año según unidad o dependencia.</w:t>
            </w:r>
            <w:r w:rsidR="0059487D"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  <w:t xml:space="preserve"> </w:t>
            </w:r>
            <w:r w:rsidRPr="0059487D">
              <w:rPr>
                <w:rFonts w:ascii="Calibri" w:eastAsia="Times New Roman" w:hAnsi="Calibri" w:cs="Calibri"/>
                <w:b/>
                <w:bCs/>
                <w:color w:val="000000"/>
                <w:szCs w:val="18"/>
              </w:rPr>
              <w:t>2008-2016.</w:t>
            </w:r>
          </w:p>
        </w:tc>
      </w:tr>
      <w:tr w:rsidR="004A7C41" w:rsidRPr="004A7C41" w:rsidTr="004A7C41">
        <w:trPr>
          <w:trHeight w:val="518"/>
          <w:jc w:val="center"/>
        </w:trPr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Categoría de unidad o dependencia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2017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5E06"/>
            <w:vAlign w:val="center"/>
            <w:hideMark/>
          </w:tcPr>
          <w:p w:rsidR="004A7C41" w:rsidRPr="004A7C41" w:rsidRDefault="004A7C41" w:rsidP="004A7C41">
            <w:pPr>
              <w:jc w:val="center"/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FFFFFF"/>
                <w:sz w:val="18"/>
                <w:szCs w:val="18"/>
              </w:rPr>
              <w:t>Total general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Oficinas Administrativas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824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Unidades Académicas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972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Sedes Regionales y Recintos Universitarios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423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Programas de Posgrado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Fincas y Estaciones Experimentales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Centros, Institutos y otras unidades de Investigación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334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Otros*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4A7C41" w:rsidRPr="004A7C41" w:rsidTr="004A7C41">
        <w:trPr>
          <w:trHeight w:val="330"/>
          <w:jc w:val="center"/>
        </w:trPr>
        <w:tc>
          <w:tcPr>
            <w:tcW w:w="2887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B35E06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jc w:val="right"/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b/>
                <w:bCs/>
                <w:color w:val="000000"/>
                <w:sz w:val="18"/>
                <w:szCs w:val="18"/>
              </w:rPr>
              <w:t>2790</w:t>
            </w:r>
          </w:p>
        </w:tc>
      </w:tr>
      <w:tr w:rsidR="004A7C41" w:rsidRPr="004A7C41" w:rsidTr="004A7C41">
        <w:trPr>
          <w:trHeight w:val="330"/>
          <w:jc w:val="center"/>
        </w:trPr>
        <w:tc>
          <w:tcPr>
            <w:tcW w:w="9073" w:type="dxa"/>
            <w:gridSpan w:val="12"/>
            <w:tcBorders>
              <w:top w:val="single" w:sz="12" w:space="0" w:color="B35E0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* Unidades de Acción Social, Medios de Comunicación y Tribunal</w:t>
            </w:r>
          </w:p>
        </w:tc>
      </w:tr>
      <w:tr w:rsidR="004A7C41" w:rsidRPr="004A7C41" w:rsidTr="004A7C41">
        <w:trPr>
          <w:trHeight w:val="314"/>
          <w:jc w:val="center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41" w:rsidRPr="004A7C41" w:rsidRDefault="004A7C41" w:rsidP="004A7C41">
            <w:pPr>
              <w:rPr>
                <w:rFonts w:ascii="Caladea" w:eastAsia="Times New Roman" w:hAnsi="Caladea" w:cs="Arial"/>
                <w:color w:val="000000"/>
                <w:sz w:val="18"/>
                <w:szCs w:val="18"/>
              </w:rPr>
            </w:pPr>
            <w:r w:rsidRPr="004A7C41">
              <w:rPr>
                <w:rFonts w:ascii="Caladea" w:eastAsia="Times New Roman" w:hAnsi="Caladea" w:cs="Arial"/>
                <w:color w:val="000000"/>
                <w:sz w:val="18"/>
                <w:szCs w:val="18"/>
              </w:rPr>
              <w:t>Fuente: Registros de la Unidad de Gestión del Desempeño, ORH-UCR, 2017.</w:t>
            </w:r>
          </w:p>
        </w:tc>
      </w:tr>
    </w:tbl>
    <w:p w:rsidR="008D2DB0" w:rsidRDefault="008D2DB0" w:rsidP="008B2002">
      <w:pPr>
        <w:spacing w:line="276" w:lineRule="auto"/>
        <w:rPr>
          <w:rFonts w:ascii="Arial" w:hAnsi="Arial" w:cs="Arial"/>
          <w:bCs/>
        </w:rPr>
      </w:pPr>
    </w:p>
    <w:p w:rsidR="005E26A3" w:rsidRDefault="00E41890" w:rsidP="000402C0">
      <w:pPr>
        <w:pStyle w:val="Ttulo1"/>
        <w:spacing w:before="240" w:line="276" w:lineRule="auto"/>
      </w:pPr>
      <w:r>
        <w:t>Resultados obtenidos</w:t>
      </w:r>
    </w:p>
    <w:p w:rsidR="005E26A3" w:rsidRDefault="000E7D26" w:rsidP="00EA1198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Como parte de la gestión del desempeño, en el </w:t>
      </w:r>
      <w:r w:rsidR="00EA1198">
        <w:rPr>
          <w:rFonts w:ascii="Arial" w:hAnsi="Arial" w:cs="Arial"/>
          <w:bCs/>
        </w:rPr>
        <w:t xml:space="preserve">proceso de evaluación de la metas se registra </w:t>
      </w:r>
      <w:r w:rsidR="006F67B3">
        <w:rPr>
          <w:rFonts w:ascii="Arial" w:hAnsi="Arial" w:cs="Arial"/>
          <w:bCs/>
        </w:rPr>
        <w:t xml:space="preserve">la percepción de cuál es </w:t>
      </w:r>
      <w:r w:rsidR="00EA1198">
        <w:rPr>
          <w:rFonts w:ascii="Arial" w:hAnsi="Arial" w:cs="Arial"/>
          <w:bCs/>
        </w:rPr>
        <w:t>el impacto en el trabajo del funcionario y de la unidad de trabajo</w:t>
      </w:r>
      <w:r w:rsidR="00EA1198" w:rsidRPr="00EA1198">
        <w:rPr>
          <w:rFonts w:ascii="Arial" w:hAnsi="Arial" w:cs="Arial"/>
          <w:bCs/>
        </w:rPr>
        <w:t xml:space="preserve"> </w:t>
      </w:r>
      <w:r w:rsidR="00EA1198">
        <w:rPr>
          <w:rFonts w:ascii="Arial" w:hAnsi="Arial" w:cs="Arial"/>
          <w:bCs/>
        </w:rPr>
        <w:t>que</w:t>
      </w:r>
      <w:r w:rsidR="00CD1996">
        <w:rPr>
          <w:rFonts w:ascii="Arial" w:hAnsi="Arial" w:cs="Arial"/>
          <w:bCs/>
        </w:rPr>
        <w:t xml:space="preserve"> gener</w:t>
      </w:r>
      <w:r w:rsidR="006F67B3">
        <w:rPr>
          <w:rFonts w:ascii="Arial" w:hAnsi="Arial" w:cs="Arial"/>
          <w:bCs/>
        </w:rPr>
        <w:t>a</w:t>
      </w:r>
      <w:r w:rsidR="00CD1996">
        <w:rPr>
          <w:rFonts w:ascii="Arial" w:hAnsi="Arial" w:cs="Arial"/>
          <w:bCs/>
        </w:rPr>
        <w:t xml:space="preserve"> la consecución o no consecución de las metas planteadas</w:t>
      </w:r>
      <w:r w:rsidR="00EA1198">
        <w:rPr>
          <w:rFonts w:ascii="Arial" w:hAnsi="Arial" w:cs="Arial"/>
          <w:bCs/>
        </w:rPr>
        <w:t>.</w:t>
      </w:r>
    </w:p>
    <w:p w:rsidR="006F67B3" w:rsidRDefault="006F67B3" w:rsidP="00EA1198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 información es importante pues ayuda</w:t>
      </w:r>
      <w:r w:rsidR="007C349E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los funcionarios y funcionarias a tener claro cuál es el propósito de su puesto y cómo sus labores más allá de ser funciones asignadas a un individuo, responden a los requerimientos y necesidades de un equipo de trabajo y los usuarios de los servicios.</w:t>
      </w:r>
      <w:r w:rsidR="00A7288D">
        <w:rPr>
          <w:rFonts w:ascii="Arial" w:hAnsi="Arial" w:cs="Arial"/>
          <w:bCs/>
        </w:rPr>
        <w:t xml:space="preserve"> </w:t>
      </w:r>
    </w:p>
    <w:p w:rsidR="006F67B3" w:rsidRDefault="006F67B3" w:rsidP="00EA1198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este primer momento se analizaron 445 metas cuya información está contenida en las evaluaciones realizadas entre los años 2013 y 2015. Se identificaron siete categorías</w:t>
      </w:r>
      <w:r w:rsidR="00174A1D">
        <w:rPr>
          <w:rFonts w:ascii="Arial" w:hAnsi="Arial" w:cs="Arial"/>
          <w:bCs/>
        </w:rPr>
        <w:t xml:space="preserve"> que corresponden a </w:t>
      </w:r>
      <w:r w:rsidR="0080065D">
        <w:rPr>
          <w:rFonts w:ascii="Arial" w:hAnsi="Arial" w:cs="Arial"/>
          <w:bCs/>
        </w:rPr>
        <w:t xml:space="preserve">la percepción de las mejoras experimentadas en </w:t>
      </w:r>
      <w:r w:rsidR="0080065D">
        <w:rPr>
          <w:rFonts w:ascii="Arial" w:hAnsi="Arial" w:cs="Arial"/>
          <w:bCs/>
        </w:rPr>
        <w:lastRenderedPageBreak/>
        <w:t xml:space="preserve">los procesos de trabajo y </w:t>
      </w:r>
      <w:r w:rsidR="00174A1D">
        <w:rPr>
          <w:rFonts w:ascii="Arial" w:hAnsi="Arial" w:cs="Arial"/>
          <w:bCs/>
        </w:rPr>
        <w:t xml:space="preserve">a </w:t>
      </w:r>
      <w:r w:rsidR="0080065D">
        <w:rPr>
          <w:rFonts w:ascii="Arial" w:hAnsi="Arial" w:cs="Arial"/>
          <w:bCs/>
        </w:rPr>
        <w:t xml:space="preserve">insumos que brinda </w:t>
      </w:r>
      <w:r w:rsidR="00174A1D">
        <w:rPr>
          <w:rFonts w:ascii="Arial" w:hAnsi="Arial" w:cs="Arial"/>
          <w:bCs/>
        </w:rPr>
        <w:t>la implementación del Sistema de Gestión del Desempeño.</w:t>
      </w:r>
    </w:p>
    <w:p w:rsidR="004E6886" w:rsidRDefault="00745D2C" w:rsidP="00745D2C">
      <w:pPr>
        <w:spacing w:before="120" w:line="276" w:lineRule="auto"/>
        <w:jc w:val="center"/>
        <w:rPr>
          <w:rFonts w:ascii="Arial" w:hAnsi="Arial" w:cs="Arial"/>
          <w:bCs/>
        </w:rPr>
      </w:pPr>
      <w:r w:rsidRPr="00745D2C">
        <w:rPr>
          <w:rFonts w:ascii="Arial" w:hAnsi="Arial" w:cs="Arial"/>
          <w:bCs/>
        </w:rPr>
        <w:drawing>
          <wp:inline distT="0" distB="0" distL="0" distR="0">
            <wp:extent cx="5612130" cy="3381375"/>
            <wp:effectExtent l="19050" t="0" r="2667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1890" w:rsidRDefault="006421EA" w:rsidP="005E26A3">
      <w:pPr>
        <w:spacing w:before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Este análisis juega un rol importante en la generación de evidencias de la mejora en los procesos de trabajo</w:t>
      </w:r>
      <w:r w:rsidR="00CD2436">
        <w:rPr>
          <w:rFonts w:ascii="Arial" w:hAnsi="Arial" w:cs="Arial"/>
          <w:bCs/>
        </w:rPr>
        <w:t xml:space="preserve"> que experimentan las unidades y dependencias participantes mediante la gestión de su propio desempeño.</w:t>
      </w:r>
    </w:p>
    <w:p w:rsidR="00CD2436" w:rsidRPr="005E26A3" w:rsidRDefault="00CD2436" w:rsidP="005E26A3">
      <w:pPr>
        <w:spacing w:before="120" w:line="276" w:lineRule="auto"/>
        <w:jc w:val="both"/>
        <w:rPr>
          <w:rFonts w:ascii="Arial" w:hAnsi="Arial" w:cs="Arial"/>
          <w:bCs/>
        </w:rPr>
      </w:pPr>
    </w:p>
    <w:p w:rsidR="001A5128" w:rsidRPr="001A5128" w:rsidRDefault="001A5128" w:rsidP="009A7032">
      <w:pPr>
        <w:pStyle w:val="Ttulo1"/>
        <w:spacing w:before="0" w:line="276" w:lineRule="auto"/>
      </w:pPr>
      <w:r w:rsidRPr="001A5128">
        <w:t>Logros</w:t>
      </w:r>
    </w:p>
    <w:p w:rsidR="00EB0CEB" w:rsidRPr="00B07392" w:rsidRDefault="006E2620" w:rsidP="008B2002">
      <w:pPr>
        <w:spacing w:before="120" w:line="276" w:lineRule="auto"/>
        <w:jc w:val="both"/>
        <w:rPr>
          <w:rFonts w:ascii="Arial" w:hAnsi="Arial" w:cs="Arial"/>
          <w:bCs/>
        </w:rPr>
      </w:pPr>
      <w:r w:rsidRPr="00B07392">
        <w:rPr>
          <w:rFonts w:ascii="Arial" w:hAnsi="Arial" w:cs="Arial"/>
          <w:bCs/>
        </w:rPr>
        <w:t xml:space="preserve">A continuación se destacan algunos logros obtenidos </w:t>
      </w:r>
      <w:r w:rsidR="00901119" w:rsidRPr="00B07392">
        <w:rPr>
          <w:rFonts w:ascii="Arial" w:hAnsi="Arial" w:cs="Arial"/>
          <w:bCs/>
        </w:rPr>
        <w:t>en la implementación del Sistema</w:t>
      </w:r>
      <w:r w:rsidR="00BD46F3">
        <w:rPr>
          <w:rFonts w:ascii="Arial" w:hAnsi="Arial" w:cs="Arial"/>
          <w:bCs/>
        </w:rPr>
        <w:t>:</w:t>
      </w:r>
    </w:p>
    <w:p w:rsidR="008A036A" w:rsidRPr="00540B5F" w:rsidRDefault="00EB0CEB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t>Articulación y mejora en los procesos al interno de las Unidades contribuyendo a la eficiencia de la gestión administrativa.</w:t>
      </w:r>
    </w:p>
    <w:p w:rsidR="008A036A" w:rsidRPr="00540B5F" w:rsidRDefault="008A036A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t>Realimentación mutua (jefa</w:t>
      </w:r>
      <w:r w:rsidR="00BD46F3" w:rsidRPr="00540B5F">
        <w:rPr>
          <w:rFonts w:ascii="Arial" w:hAnsi="Arial" w:cs="Arial"/>
          <w:bCs/>
        </w:rPr>
        <w:t>tura- funcionario, funcionaria)</w:t>
      </w:r>
      <w:r w:rsidRPr="00540B5F">
        <w:rPr>
          <w:rFonts w:ascii="Arial" w:hAnsi="Arial" w:cs="Arial"/>
          <w:bCs/>
        </w:rPr>
        <w:t xml:space="preserve"> lo que ha permitido la implementación de nuevas estrategias de acción, favoreciendo el desempeño </w:t>
      </w:r>
      <w:r w:rsidR="00BD46F3" w:rsidRPr="00540B5F">
        <w:rPr>
          <w:rFonts w:ascii="Arial" w:hAnsi="Arial" w:cs="Arial"/>
          <w:bCs/>
        </w:rPr>
        <w:t>de ambos actores en el proceso.</w:t>
      </w:r>
    </w:p>
    <w:p w:rsidR="00EB0CEB" w:rsidRPr="00540B5F" w:rsidRDefault="00F47AA3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t xml:space="preserve">Identificación de </w:t>
      </w:r>
      <w:r w:rsidR="00316A5F" w:rsidRPr="00540B5F">
        <w:rPr>
          <w:rFonts w:ascii="Arial" w:hAnsi="Arial" w:cs="Arial"/>
          <w:bCs/>
        </w:rPr>
        <w:t>las potencialidades</w:t>
      </w:r>
      <w:r w:rsidRPr="00540B5F">
        <w:rPr>
          <w:rFonts w:ascii="Arial" w:hAnsi="Arial" w:cs="Arial"/>
          <w:bCs/>
        </w:rPr>
        <w:t xml:space="preserve"> (fo</w:t>
      </w:r>
      <w:r w:rsidR="00BD46F3" w:rsidRPr="00540B5F">
        <w:rPr>
          <w:rFonts w:ascii="Arial" w:hAnsi="Arial" w:cs="Arial"/>
          <w:bCs/>
        </w:rPr>
        <w:t>rtalezas y aspectos de mejora) en</w:t>
      </w:r>
      <w:r w:rsidRPr="00540B5F">
        <w:rPr>
          <w:rFonts w:ascii="Arial" w:hAnsi="Arial" w:cs="Arial"/>
          <w:bCs/>
        </w:rPr>
        <w:t xml:space="preserve"> los funcionarios y funcionarias</w:t>
      </w:r>
      <w:r w:rsidR="00BD46F3" w:rsidRPr="00540B5F">
        <w:rPr>
          <w:rFonts w:ascii="Arial" w:hAnsi="Arial" w:cs="Arial"/>
          <w:bCs/>
        </w:rPr>
        <w:t>.</w:t>
      </w:r>
    </w:p>
    <w:p w:rsidR="00D91B44" w:rsidRPr="00540B5F" w:rsidRDefault="00EB0CEB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t xml:space="preserve">Compromiso de jefaturas </w:t>
      </w:r>
      <w:r w:rsidR="00325E7E" w:rsidRPr="00540B5F">
        <w:rPr>
          <w:rFonts w:ascii="Arial" w:hAnsi="Arial" w:cs="Arial"/>
          <w:bCs/>
        </w:rPr>
        <w:t xml:space="preserve">en </w:t>
      </w:r>
      <w:r w:rsidRPr="00540B5F">
        <w:rPr>
          <w:rFonts w:ascii="Arial" w:hAnsi="Arial" w:cs="Arial"/>
          <w:bCs/>
        </w:rPr>
        <w:t>acciones</w:t>
      </w:r>
      <w:r w:rsidR="00325E7E" w:rsidRPr="00540B5F">
        <w:rPr>
          <w:rFonts w:ascii="Arial" w:hAnsi="Arial" w:cs="Arial"/>
          <w:bCs/>
        </w:rPr>
        <w:t xml:space="preserve">  que con</w:t>
      </w:r>
      <w:r w:rsidR="00BD46F3" w:rsidRPr="00540B5F">
        <w:rPr>
          <w:rFonts w:ascii="Arial" w:hAnsi="Arial" w:cs="Arial"/>
          <w:bCs/>
        </w:rPr>
        <w:t>tribuyan a una mayor eficiencia</w:t>
      </w:r>
      <w:r w:rsidRPr="00540B5F">
        <w:rPr>
          <w:rFonts w:ascii="Arial" w:hAnsi="Arial" w:cs="Arial"/>
          <w:bCs/>
        </w:rPr>
        <w:t xml:space="preserve"> en la gestión del </w:t>
      </w:r>
      <w:r w:rsidR="00BD46F3" w:rsidRPr="00540B5F">
        <w:rPr>
          <w:rFonts w:ascii="Arial" w:hAnsi="Arial" w:cs="Arial"/>
          <w:bCs/>
        </w:rPr>
        <w:t>desempeño del personal a cargo.</w:t>
      </w:r>
    </w:p>
    <w:p w:rsidR="00540B5F" w:rsidRDefault="006E2620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t>Mayor comunicación y coordinación al interno de la Unidad de Trabajo y entre éstas.</w:t>
      </w:r>
    </w:p>
    <w:p w:rsidR="00D91B44" w:rsidRPr="00540B5F" w:rsidRDefault="006E2620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lastRenderedPageBreak/>
        <w:t>Mayor calidad</w:t>
      </w:r>
      <w:r w:rsidR="00316A5F" w:rsidRPr="00540B5F">
        <w:rPr>
          <w:rFonts w:ascii="Arial" w:hAnsi="Arial" w:cs="Arial"/>
          <w:bCs/>
        </w:rPr>
        <w:t xml:space="preserve"> y</w:t>
      </w:r>
      <w:r w:rsidRPr="00540B5F">
        <w:rPr>
          <w:rFonts w:ascii="Arial" w:hAnsi="Arial" w:cs="Arial"/>
          <w:bCs/>
        </w:rPr>
        <w:t xml:space="preserve"> </w:t>
      </w:r>
      <w:r w:rsidR="005F20AC" w:rsidRPr="00540B5F">
        <w:rPr>
          <w:rFonts w:ascii="Arial" w:hAnsi="Arial" w:cs="Arial"/>
          <w:bCs/>
        </w:rPr>
        <w:t xml:space="preserve">eficacia </w:t>
      </w:r>
      <w:r w:rsidR="00BD46F3" w:rsidRPr="00540B5F">
        <w:rPr>
          <w:rFonts w:ascii="Arial" w:hAnsi="Arial" w:cs="Arial"/>
          <w:bCs/>
        </w:rPr>
        <w:t xml:space="preserve">en el </w:t>
      </w:r>
      <w:r w:rsidRPr="00540B5F">
        <w:rPr>
          <w:rFonts w:ascii="Arial" w:hAnsi="Arial" w:cs="Arial"/>
          <w:bCs/>
        </w:rPr>
        <w:t>servicio al usuario.</w:t>
      </w:r>
    </w:p>
    <w:p w:rsidR="00CE2E67" w:rsidRPr="00540B5F" w:rsidRDefault="00316A5F" w:rsidP="008B2002">
      <w:pPr>
        <w:pStyle w:val="Prrafodelista"/>
        <w:numPr>
          <w:ilvl w:val="0"/>
          <w:numId w:val="10"/>
        </w:numPr>
        <w:spacing w:before="120" w:line="276" w:lineRule="auto"/>
        <w:jc w:val="both"/>
        <w:rPr>
          <w:rFonts w:ascii="Arial" w:hAnsi="Arial" w:cs="Arial"/>
          <w:bCs/>
        </w:rPr>
      </w:pPr>
      <w:r w:rsidRPr="00540B5F">
        <w:rPr>
          <w:rFonts w:ascii="Arial" w:hAnsi="Arial" w:cs="Arial"/>
          <w:bCs/>
        </w:rPr>
        <w:t xml:space="preserve">Mayor alcance de implementación del Sistema </w:t>
      </w:r>
      <w:r w:rsidR="00B54F2E">
        <w:rPr>
          <w:rFonts w:ascii="Arial" w:hAnsi="Arial" w:cs="Arial"/>
          <w:bCs/>
        </w:rPr>
        <w:t>tanto en la Sede Central como en</w:t>
      </w:r>
      <w:r w:rsidR="00BD46F3" w:rsidRPr="00540B5F">
        <w:rPr>
          <w:rFonts w:ascii="Arial" w:hAnsi="Arial" w:cs="Arial"/>
          <w:bCs/>
        </w:rPr>
        <w:t xml:space="preserve"> Sedes y Recintos.</w:t>
      </w:r>
    </w:p>
    <w:p w:rsidR="00D91B44" w:rsidRDefault="00D91B44" w:rsidP="008B2002">
      <w:pPr>
        <w:spacing w:before="120" w:line="276" w:lineRule="auto"/>
        <w:jc w:val="both"/>
        <w:rPr>
          <w:rFonts w:ascii="Arial" w:hAnsi="Arial" w:cs="Arial"/>
          <w:bCs/>
        </w:rPr>
      </w:pPr>
    </w:p>
    <w:p w:rsidR="00CB6FA9" w:rsidRDefault="00CB6FA9" w:rsidP="008B2002">
      <w:pPr>
        <w:spacing w:before="120" w:line="276" w:lineRule="auto"/>
        <w:jc w:val="both"/>
        <w:rPr>
          <w:rFonts w:ascii="Arial" w:hAnsi="Arial" w:cs="Arial"/>
          <w:bCs/>
        </w:rPr>
      </w:pPr>
    </w:p>
    <w:p w:rsidR="00CB6FA9" w:rsidRPr="00B07392" w:rsidRDefault="00CB6FA9" w:rsidP="008B2002">
      <w:pPr>
        <w:spacing w:before="120" w:line="276" w:lineRule="auto"/>
        <w:jc w:val="both"/>
        <w:rPr>
          <w:rFonts w:ascii="Arial" w:hAnsi="Arial" w:cs="Arial"/>
          <w:bCs/>
        </w:rPr>
      </w:pPr>
    </w:p>
    <w:p w:rsidR="008A036A" w:rsidRPr="00CB70DB" w:rsidRDefault="009D79E0" w:rsidP="008B2002">
      <w:pPr>
        <w:spacing w:before="120"/>
        <w:jc w:val="right"/>
        <w:rPr>
          <w:rFonts w:ascii="Arial" w:hAnsi="Arial" w:cs="Arial"/>
          <w:bCs/>
        </w:rPr>
      </w:pPr>
      <w:r w:rsidRPr="00CB70DB">
        <w:rPr>
          <w:rFonts w:ascii="Arial" w:hAnsi="Arial" w:cs="Arial"/>
          <w:bCs/>
        </w:rPr>
        <w:t>Oficina de Recursos Humanos</w:t>
      </w:r>
    </w:p>
    <w:p w:rsidR="009D79E0" w:rsidRPr="00CB70DB" w:rsidRDefault="009D79E0" w:rsidP="008B2002">
      <w:pPr>
        <w:spacing w:before="120"/>
        <w:jc w:val="right"/>
        <w:rPr>
          <w:rFonts w:ascii="Arial" w:hAnsi="Arial" w:cs="Arial"/>
          <w:bCs/>
        </w:rPr>
      </w:pPr>
      <w:r w:rsidRPr="00CB70DB">
        <w:rPr>
          <w:rFonts w:ascii="Arial" w:hAnsi="Arial" w:cs="Arial"/>
          <w:bCs/>
        </w:rPr>
        <w:t>Área de Desarrollo Humano</w:t>
      </w:r>
    </w:p>
    <w:p w:rsidR="0016431A" w:rsidRPr="007C349E" w:rsidRDefault="007C349E" w:rsidP="008B2002">
      <w:pPr>
        <w:spacing w:before="120"/>
        <w:jc w:val="right"/>
        <w:rPr>
          <w:rFonts w:ascii="Arial" w:hAnsi="Arial" w:cs="Arial"/>
          <w:bCs/>
          <w:sz w:val="18"/>
          <w:szCs w:val="18"/>
        </w:rPr>
      </w:pPr>
      <w:r w:rsidRPr="007C349E">
        <w:rPr>
          <w:rFonts w:ascii="Arial" w:hAnsi="Arial" w:cs="Arial"/>
          <w:bCs/>
          <w:sz w:val="18"/>
          <w:szCs w:val="18"/>
        </w:rPr>
        <w:t>UNIDAD DE GESTIÓN DEL DESEMPEÑO</w:t>
      </w:r>
    </w:p>
    <w:p w:rsidR="007C3274" w:rsidRPr="008B2002" w:rsidRDefault="002F5790" w:rsidP="007C3274">
      <w:pPr>
        <w:spacing w:before="1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A</w:t>
      </w:r>
      <w:r w:rsidR="007C3274">
        <w:rPr>
          <w:rFonts w:ascii="Arial" w:hAnsi="Arial" w:cs="Arial"/>
          <w:bCs/>
          <w:sz w:val="18"/>
        </w:rPr>
        <w:t>ctualización</w:t>
      </w:r>
      <w:r>
        <w:rPr>
          <w:rFonts w:ascii="Arial" w:hAnsi="Arial" w:cs="Arial"/>
          <w:bCs/>
          <w:sz w:val="18"/>
        </w:rPr>
        <w:t xml:space="preserve"> a </w:t>
      </w:r>
      <w:r w:rsidR="007C349E">
        <w:rPr>
          <w:rFonts w:ascii="Arial" w:hAnsi="Arial" w:cs="Arial"/>
          <w:bCs/>
          <w:sz w:val="18"/>
        </w:rPr>
        <w:t xml:space="preserve">enero </w:t>
      </w:r>
      <w:r>
        <w:rPr>
          <w:rFonts w:ascii="Arial" w:hAnsi="Arial" w:cs="Arial"/>
          <w:bCs/>
          <w:sz w:val="18"/>
        </w:rPr>
        <w:t xml:space="preserve">de </w:t>
      </w:r>
      <w:r w:rsidR="007C3274">
        <w:rPr>
          <w:rFonts w:ascii="Arial" w:hAnsi="Arial" w:cs="Arial"/>
          <w:bCs/>
          <w:sz w:val="18"/>
        </w:rPr>
        <w:t>201</w:t>
      </w:r>
      <w:r>
        <w:rPr>
          <w:rFonts w:ascii="Arial" w:hAnsi="Arial" w:cs="Arial"/>
          <w:bCs/>
          <w:sz w:val="18"/>
        </w:rPr>
        <w:t>7</w:t>
      </w:r>
    </w:p>
    <w:sectPr w:rsidR="007C3274" w:rsidRPr="008B2002" w:rsidSect="003E3255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C1" w:rsidRDefault="00005EC1" w:rsidP="005B647B">
      <w:r>
        <w:separator/>
      </w:r>
    </w:p>
  </w:endnote>
  <w:endnote w:type="continuationSeparator" w:id="1">
    <w:p w:rsidR="00005EC1" w:rsidRDefault="00005EC1" w:rsidP="005B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33"/>
      <w:docPartObj>
        <w:docPartGallery w:val="Page Numbers (Bottom of Page)"/>
        <w:docPartUnique/>
      </w:docPartObj>
    </w:sdtPr>
    <w:sdtContent>
      <w:p w:rsidR="00553F1C" w:rsidRDefault="00457BCA" w:rsidP="007C3274">
        <w:pPr>
          <w:spacing w:before="120" w:line="276" w:lineRule="auto"/>
          <w:jc w:val="both"/>
        </w:pPr>
        <w:r w:rsidRPr="00457BCA">
          <w:rPr>
            <w:noProof/>
            <w:lang w:val="es-ES" w:eastAsia="zh-TW"/>
          </w:rPr>
          <w:pict>
            <v:group id="_x0000_s2055" style="position:absolute;left:0;text-align:left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6" style="position:absolute;left:831;top:14552;width:512;height:526" fillcolor="#761e28 [2405]" strokecolor="#761e28 [2405]"/>
              <v:rect id="_x0000_s2057" style="position:absolute;left:831;top:15117;width:512;height:43" fillcolor="#761e28 [2405]" strokecolor="#761e28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left:726;top:14496;width:659;height:690;v-text-anchor:bottom" filled="f" stroked="f">
                <v:textbox style="mso-next-textbox:#_x0000_s2058" inset="4.32pt,0,4.32pt,0">
                  <w:txbxContent>
                    <w:p w:rsidR="00553F1C" w:rsidRDefault="00457BCA">
                      <w:pPr>
                        <w:pStyle w:val="Piedepgina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A7288D" w:rsidRPr="00A7288D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C1" w:rsidRDefault="00005EC1" w:rsidP="005B647B">
      <w:r>
        <w:separator/>
      </w:r>
    </w:p>
  </w:footnote>
  <w:footnote w:type="continuationSeparator" w:id="1">
    <w:p w:rsidR="00005EC1" w:rsidRDefault="00005EC1" w:rsidP="005B6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2"/>
      <w:gridCol w:w="2993"/>
      <w:gridCol w:w="2993"/>
    </w:tblGrid>
    <w:tr w:rsidR="00553F1C" w:rsidTr="005B647B">
      <w:tc>
        <w:tcPr>
          <w:tcW w:w="2992" w:type="dxa"/>
          <w:vAlign w:val="center"/>
        </w:tcPr>
        <w:p w:rsidR="00553F1C" w:rsidRDefault="00553F1C" w:rsidP="005B647B">
          <w:pPr>
            <w:pStyle w:val="Encabezado"/>
          </w:pPr>
          <w:r w:rsidRPr="005B647B">
            <w:rPr>
              <w:noProof/>
            </w:rPr>
            <w:drawing>
              <wp:inline distT="0" distB="0" distL="0" distR="0">
                <wp:extent cx="1476375" cy="574308"/>
                <wp:effectExtent l="0" t="0" r="9525" b="0"/>
                <wp:docPr id="6" name="Imagen 3" descr="R:\Línea Gráfica UCR\oficinistas\elementos-identidad\impresion\png\firma-horizontal-dos-lineas-cmk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2" descr="R:\Línea Gráfica UCR\oficinistas\elementos-identidad\impresion\png\firma-horizontal-dos-lineas-cmk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9197" t="17722" r="8031" b="20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581" cy="5747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Align w:val="center"/>
        </w:tcPr>
        <w:p w:rsidR="00553F1C" w:rsidRPr="0031679B" w:rsidRDefault="00553F1C" w:rsidP="005B647B">
          <w:pPr>
            <w:pStyle w:val="Encabezado"/>
            <w:jc w:val="center"/>
            <w:rPr>
              <w:rFonts w:ascii="Calibri" w:hAnsi="Calibri"/>
              <w:color w:val="B35E06" w:themeColor="accent1" w:themeShade="BF"/>
              <w:sz w:val="20"/>
            </w:rPr>
          </w:pPr>
          <w:r w:rsidRPr="0031679B">
            <w:rPr>
              <w:rFonts w:ascii="Calibri" w:hAnsi="Calibri"/>
              <w:color w:val="B35E06" w:themeColor="accent1" w:themeShade="BF"/>
              <w:sz w:val="20"/>
            </w:rPr>
            <w:t>Sistema de Gestión</w:t>
          </w:r>
        </w:p>
        <w:p w:rsidR="00553F1C" w:rsidRPr="0031679B" w:rsidRDefault="00553F1C" w:rsidP="005B647B">
          <w:pPr>
            <w:pStyle w:val="Encabezado"/>
            <w:jc w:val="center"/>
            <w:rPr>
              <w:rFonts w:ascii="Calibri" w:hAnsi="Calibri"/>
              <w:color w:val="B35E06" w:themeColor="accent1" w:themeShade="BF"/>
              <w:sz w:val="20"/>
            </w:rPr>
          </w:pPr>
          <w:r w:rsidRPr="0031679B">
            <w:rPr>
              <w:rFonts w:ascii="Calibri" w:hAnsi="Calibri"/>
              <w:color w:val="B35E06" w:themeColor="accent1" w:themeShade="BF"/>
              <w:sz w:val="20"/>
            </w:rPr>
            <w:t>del Desempeño</w:t>
          </w:r>
        </w:p>
      </w:tc>
      <w:tc>
        <w:tcPr>
          <w:tcW w:w="2993" w:type="dxa"/>
          <w:vAlign w:val="center"/>
        </w:tcPr>
        <w:p w:rsidR="00553F1C" w:rsidRDefault="00553F1C" w:rsidP="005B647B">
          <w:pPr>
            <w:pStyle w:val="Encabezado"/>
            <w:jc w:val="right"/>
          </w:pPr>
          <w:r w:rsidRPr="005B647B">
            <w:rPr>
              <w:noProof/>
            </w:rPr>
            <w:drawing>
              <wp:inline distT="0" distB="0" distL="0" distR="0">
                <wp:extent cx="1726358" cy="435315"/>
                <wp:effectExtent l="0" t="0" r="0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358" cy="435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53F1C" w:rsidRDefault="00553F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2"/>
      <w:gridCol w:w="2993"/>
      <w:gridCol w:w="2993"/>
    </w:tblGrid>
    <w:tr w:rsidR="00553F1C" w:rsidTr="005575A4">
      <w:tc>
        <w:tcPr>
          <w:tcW w:w="2992" w:type="dxa"/>
          <w:vAlign w:val="center"/>
        </w:tcPr>
        <w:p w:rsidR="00553F1C" w:rsidRDefault="00553F1C" w:rsidP="005575A4">
          <w:pPr>
            <w:pStyle w:val="Encabezado"/>
            <w:spacing w:line="276" w:lineRule="auto"/>
          </w:pPr>
          <w:r w:rsidRPr="005B647B">
            <w:rPr>
              <w:noProof/>
            </w:rPr>
            <w:drawing>
              <wp:inline distT="0" distB="0" distL="0" distR="0">
                <wp:extent cx="1476375" cy="574308"/>
                <wp:effectExtent l="0" t="0" r="9525" b="0"/>
                <wp:docPr id="1" name="Imagen 3" descr="R:\Línea Gráfica UCR\oficinistas\elementos-identidad\impresion\png\firma-horizontal-dos-lineas-cmk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2" descr="R:\Línea Gráfica UCR\oficinistas\elementos-identidad\impresion\png\firma-horizontal-dos-lineas-cmk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9197" t="17722" r="8031" b="20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581" cy="5747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Align w:val="center"/>
        </w:tcPr>
        <w:p w:rsidR="00553F1C" w:rsidRPr="005B647B" w:rsidRDefault="00553F1C" w:rsidP="005575A4">
          <w:pPr>
            <w:pStyle w:val="Encabezado"/>
            <w:spacing w:line="276" w:lineRule="auto"/>
            <w:jc w:val="center"/>
            <w:rPr>
              <w:sz w:val="20"/>
            </w:rPr>
          </w:pPr>
        </w:p>
      </w:tc>
      <w:tc>
        <w:tcPr>
          <w:tcW w:w="2993" w:type="dxa"/>
          <w:vAlign w:val="center"/>
        </w:tcPr>
        <w:p w:rsidR="00553F1C" w:rsidRDefault="00553F1C" w:rsidP="005575A4">
          <w:pPr>
            <w:pStyle w:val="Encabezado"/>
            <w:spacing w:line="276" w:lineRule="auto"/>
            <w:jc w:val="right"/>
          </w:pPr>
          <w:r w:rsidRPr="005B647B">
            <w:rPr>
              <w:noProof/>
            </w:rPr>
            <w:drawing>
              <wp:inline distT="0" distB="0" distL="0" distR="0">
                <wp:extent cx="1726358" cy="43531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358" cy="435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53F1C" w:rsidRDefault="00553F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68"/>
    <w:multiLevelType w:val="hybridMultilevel"/>
    <w:tmpl w:val="EEA00BBA"/>
    <w:lvl w:ilvl="0" w:tplc="140A000F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146" w:hanging="360"/>
      </w:pPr>
    </w:lvl>
    <w:lvl w:ilvl="2" w:tplc="140A001B" w:tentative="1">
      <w:start w:val="1"/>
      <w:numFmt w:val="lowerRoman"/>
      <w:lvlText w:val="%3."/>
      <w:lvlJc w:val="right"/>
      <w:pPr>
        <w:ind w:left="1866" w:hanging="180"/>
      </w:pPr>
    </w:lvl>
    <w:lvl w:ilvl="3" w:tplc="140A000F" w:tentative="1">
      <w:start w:val="1"/>
      <w:numFmt w:val="decimal"/>
      <w:lvlText w:val="%4."/>
      <w:lvlJc w:val="left"/>
      <w:pPr>
        <w:ind w:left="2586" w:hanging="360"/>
      </w:pPr>
    </w:lvl>
    <w:lvl w:ilvl="4" w:tplc="140A0019" w:tentative="1">
      <w:start w:val="1"/>
      <w:numFmt w:val="lowerLetter"/>
      <w:lvlText w:val="%5."/>
      <w:lvlJc w:val="left"/>
      <w:pPr>
        <w:ind w:left="3306" w:hanging="360"/>
      </w:pPr>
    </w:lvl>
    <w:lvl w:ilvl="5" w:tplc="140A001B" w:tentative="1">
      <w:start w:val="1"/>
      <w:numFmt w:val="lowerRoman"/>
      <w:lvlText w:val="%6."/>
      <w:lvlJc w:val="right"/>
      <w:pPr>
        <w:ind w:left="4026" w:hanging="180"/>
      </w:pPr>
    </w:lvl>
    <w:lvl w:ilvl="6" w:tplc="140A000F" w:tentative="1">
      <w:start w:val="1"/>
      <w:numFmt w:val="decimal"/>
      <w:lvlText w:val="%7."/>
      <w:lvlJc w:val="left"/>
      <w:pPr>
        <w:ind w:left="4746" w:hanging="360"/>
      </w:pPr>
    </w:lvl>
    <w:lvl w:ilvl="7" w:tplc="140A0019" w:tentative="1">
      <w:start w:val="1"/>
      <w:numFmt w:val="lowerLetter"/>
      <w:lvlText w:val="%8."/>
      <w:lvlJc w:val="left"/>
      <w:pPr>
        <w:ind w:left="5466" w:hanging="360"/>
      </w:pPr>
    </w:lvl>
    <w:lvl w:ilvl="8" w:tplc="1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524099E"/>
    <w:multiLevelType w:val="hybridMultilevel"/>
    <w:tmpl w:val="582E4A04"/>
    <w:lvl w:ilvl="0" w:tplc="013E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4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A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0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0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CB3EAE"/>
    <w:multiLevelType w:val="hybridMultilevel"/>
    <w:tmpl w:val="881C21C4"/>
    <w:lvl w:ilvl="0" w:tplc="2024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84F"/>
    <w:multiLevelType w:val="hybridMultilevel"/>
    <w:tmpl w:val="96581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744E"/>
    <w:multiLevelType w:val="hybridMultilevel"/>
    <w:tmpl w:val="D0025612"/>
    <w:lvl w:ilvl="0" w:tplc="48E4D1DA">
      <w:start w:val="1"/>
      <w:numFmt w:val="decimal"/>
      <w:lvlText w:val="%1."/>
      <w:lvlJc w:val="left"/>
      <w:pPr>
        <w:ind w:left="720" w:hanging="360"/>
      </w:pPr>
      <w:rPr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31D6A"/>
    <w:multiLevelType w:val="hybridMultilevel"/>
    <w:tmpl w:val="6A50185C"/>
    <w:lvl w:ilvl="0" w:tplc="FAFA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8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A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8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2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3C19C4"/>
    <w:multiLevelType w:val="hybridMultilevel"/>
    <w:tmpl w:val="34C24826"/>
    <w:lvl w:ilvl="0" w:tplc="34F4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47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8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09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0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C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C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E169D8"/>
    <w:multiLevelType w:val="hybridMultilevel"/>
    <w:tmpl w:val="B7AA8E8A"/>
    <w:lvl w:ilvl="0" w:tplc="B62EA55E">
      <w:start w:val="1"/>
      <w:numFmt w:val="decimal"/>
      <w:lvlText w:val="%1-"/>
      <w:lvlJc w:val="left"/>
      <w:pPr>
        <w:ind w:left="426" w:hanging="360"/>
      </w:pPr>
      <w:rPr>
        <w:rFonts w:hint="default"/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146" w:hanging="360"/>
      </w:pPr>
    </w:lvl>
    <w:lvl w:ilvl="2" w:tplc="140A001B" w:tentative="1">
      <w:start w:val="1"/>
      <w:numFmt w:val="lowerRoman"/>
      <w:lvlText w:val="%3."/>
      <w:lvlJc w:val="right"/>
      <w:pPr>
        <w:ind w:left="1866" w:hanging="180"/>
      </w:pPr>
    </w:lvl>
    <w:lvl w:ilvl="3" w:tplc="140A000F" w:tentative="1">
      <w:start w:val="1"/>
      <w:numFmt w:val="decimal"/>
      <w:lvlText w:val="%4."/>
      <w:lvlJc w:val="left"/>
      <w:pPr>
        <w:ind w:left="2586" w:hanging="360"/>
      </w:pPr>
    </w:lvl>
    <w:lvl w:ilvl="4" w:tplc="140A0019" w:tentative="1">
      <w:start w:val="1"/>
      <w:numFmt w:val="lowerLetter"/>
      <w:lvlText w:val="%5."/>
      <w:lvlJc w:val="left"/>
      <w:pPr>
        <w:ind w:left="3306" w:hanging="360"/>
      </w:pPr>
    </w:lvl>
    <w:lvl w:ilvl="5" w:tplc="140A001B" w:tentative="1">
      <w:start w:val="1"/>
      <w:numFmt w:val="lowerRoman"/>
      <w:lvlText w:val="%6."/>
      <w:lvlJc w:val="right"/>
      <w:pPr>
        <w:ind w:left="4026" w:hanging="180"/>
      </w:pPr>
    </w:lvl>
    <w:lvl w:ilvl="6" w:tplc="140A000F" w:tentative="1">
      <w:start w:val="1"/>
      <w:numFmt w:val="decimal"/>
      <w:lvlText w:val="%7."/>
      <w:lvlJc w:val="left"/>
      <w:pPr>
        <w:ind w:left="4746" w:hanging="360"/>
      </w:pPr>
    </w:lvl>
    <w:lvl w:ilvl="7" w:tplc="140A0019" w:tentative="1">
      <w:start w:val="1"/>
      <w:numFmt w:val="lowerLetter"/>
      <w:lvlText w:val="%8."/>
      <w:lvlJc w:val="left"/>
      <w:pPr>
        <w:ind w:left="5466" w:hanging="360"/>
      </w:pPr>
    </w:lvl>
    <w:lvl w:ilvl="8" w:tplc="1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0543BB4"/>
    <w:multiLevelType w:val="hybridMultilevel"/>
    <w:tmpl w:val="4C2CACA4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F43F82"/>
    <w:multiLevelType w:val="hybridMultilevel"/>
    <w:tmpl w:val="323EC6A8"/>
    <w:lvl w:ilvl="0" w:tplc="AAC4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4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2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5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>
      <o:colormenu v:ext="edit" strokecolor="none [24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19B8"/>
    <w:rsid w:val="00004DF9"/>
    <w:rsid w:val="00005EC1"/>
    <w:rsid w:val="00007FC8"/>
    <w:rsid w:val="00023ACD"/>
    <w:rsid w:val="000252D8"/>
    <w:rsid w:val="00031F4B"/>
    <w:rsid w:val="00035576"/>
    <w:rsid w:val="00036F12"/>
    <w:rsid w:val="000402C0"/>
    <w:rsid w:val="000729F0"/>
    <w:rsid w:val="00094F90"/>
    <w:rsid w:val="000C3BC1"/>
    <w:rsid w:val="000C5563"/>
    <w:rsid w:val="000E7D26"/>
    <w:rsid w:val="000F34C2"/>
    <w:rsid w:val="001069F9"/>
    <w:rsid w:val="001133BD"/>
    <w:rsid w:val="00115AB1"/>
    <w:rsid w:val="00127BF1"/>
    <w:rsid w:val="00133CB1"/>
    <w:rsid w:val="001341FD"/>
    <w:rsid w:val="00154541"/>
    <w:rsid w:val="0016431A"/>
    <w:rsid w:val="00174A1D"/>
    <w:rsid w:val="00176C3E"/>
    <w:rsid w:val="001A5128"/>
    <w:rsid w:val="001B325A"/>
    <w:rsid w:val="001B515E"/>
    <w:rsid w:val="001B5C06"/>
    <w:rsid w:val="001E201F"/>
    <w:rsid w:val="00210D83"/>
    <w:rsid w:val="00212129"/>
    <w:rsid w:val="002179D7"/>
    <w:rsid w:val="00271F12"/>
    <w:rsid w:val="00293E13"/>
    <w:rsid w:val="002C0A37"/>
    <w:rsid w:val="002F1E0C"/>
    <w:rsid w:val="002F5790"/>
    <w:rsid w:val="00313357"/>
    <w:rsid w:val="00313F28"/>
    <w:rsid w:val="0031679B"/>
    <w:rsid w:val="00316A5F"/>
    <w:rsid w:val="00325E7E"/>
    <w:rsid w:val="00345224"/>
    <w:rsid w:val="00346B02"/>
    <w:rsid w:val="00347351"/>
    <w:rsid w:val="003628BF"/>
    <w:rsid w:val="00384B42"/>
    <w:rsid w:val="00393793"/>
    <w:rsid w:val="003A6C0D"/>
    <w:rsid w:val="003E092D"/>
    <w:rsid w:val="003E3255"/>
    <w:rsid w:val="003E7641"/>
    <w:rsid w:val="003F0E85"/>
    <w:rsid w:val="00402CBF"/>
    <w:rsid w:val="00457BCA"/>
    <w:rsid w:val="0046095E"/>
    <w:rsid w:val="0047129C"/>
    <w:rsid w:val="00495141"/>
    <w:rsid w:val="004A7C41"/>
    <w:rsid w:val="004B0C2F"/>
    <w:rsid w:val="004C0502"/>
    <w:rsid w:val="004E6886"/>
    <w:rsid w:val="004E78A6"/>
    <w:rsid w:val="004F4C86"/>
    <w:rsid w:val="004F6E2F"/>
    <w:rsid w:val="00531A3E"/>
    <w:rsid w:val="005328C3"/>
    <w:rsid w:val="00540B5F"/>
    <w:rsid w:val="00541905"/>
    <w:rsid w:val="00553F1C"/>
    <w:rsid w:val="005575A4"/>
    <w:rsid w:val="005716C7"/>
    <w:rsid w:val="0059487D"/>
    <w:rsid w:val="005A72FA"/>
    <w:rsid w:val="005B647B"/>
    <w:rsid w:val="005C2A41"/>
    <w:rsid w:val="005C6FAA"/>
    <w:rsid w:val="005E26A3"/>
    <w:rsid w:val="005F20AC"/>
    <w:rsid w:val="00602CA3"/>
    <w:rsid w:val="00606F77"/>
    <w:rsid w:val="00631880"/>
    <w:rsid w:val="0063782D"/>
    <w:rsid w:val="006421EA"/>
    <w:rsid w:val="00663260"/>
    <w:rsid w:val="00695F56"/>
    <w:rsid w:val="006C577E"/>
    <w:rsid w:val="006D11F0"/>
    <w:rsid w:val="006D12A8"/>
    <w:rsid w:val="006E2620"/>
    <w:rsid w:val="006F079D"/>
    <w:rsid w:val="006F2E4F"/>
    <w:rsid w:val="006F67B3"/>
    <w:rsid w:val="007108D6"/>
    <w:rsid w:val="00712EAE"/>
    <w:rsid w:val="00715C3F"/>
    <w:rsid w:val="00734D55"/>
    <w:rsid w:val="00735A1B"/>
    <w:rsid w:val="007427AD"/>
    <w:rsid w:val="00745D2C"/>
    <w:rsid w:val="0075031D"/>
    <w:rsid w:val="007563B8"/>
    <w:rsid w:val="007567FC"/>
    <w:rsid w:val="0077212E"/>
    <w:rsid w:val="007879AE"/>
    <w:rsid w:val="0079351A"/>
    <w:rsid w:val="007C3274"/>
    <w:rsid w:val="007C349E"/>
    <w:rsid w:val="007D11A3"/>
    <w:rsid w:val="007D1FEC"/>
    <w:rsid w:val="007D5434"/>
    <w:rsid w:val="0080065D"/>
    <w:rsid w:val="008040FD"/>
    <w:rsid w:val="00826ED2"/>
    <w:rsid w:val="00860907"/>
    <w:rsid w:val="008668A1"/>
    <w:rsid w:val="00867C3D"/>
    <w:rsid w:val="00873048"/>
    <w:rsid w:val="00885A49"/>
    <w:rsid w:val="0089514C"/>
    <w:rsid w:val="008A036A"/>
    <w:rsid w:val="008A6259"/>
    <w:rsid w:val="008B2002"/>
    <w:rsid w:val="008B7F98"/>
    <w:rsid w:val="008C5649"/>
    <w:rsid w:val="008D2DB0"/>
    <w:rsid w:val="008D60FB"/>
    <w:rsid w:val="008E7759"/>
    <w:rsid w:val="00901119"/>
    <w:rsid w:val="00937E58"/>
    <w:rsid w:val="009515B1"/>
    <w:rsid w:val="009840F0"/>
    <w:rsid w:val="00996577"/>
    <w:rsid w:val="009A7032"/>
    <w:rsid w:val="009B34FF"/>
    <w:rsid w:val="009C3C79"/>
    <w:rsid w:val="009C7353"/>
    <w:rsid w:val="009D79E0"/>
    <w:rsid w:val="009E79DA"/>
    <w:rsid w:val="00A42386"/>
    <w:rsid w:val="00A50AD4"/>
    <w:rsid w:val="00A66F6B"/>
    <w:rsid w:val="00A7288D"/>
    <w:rsid w:val="00AD5779"/>
    <w:rsid w:val="00AE096E"/>
    <w:rsid w:val="00AE746C"/>
    <w:rsid w:val="00B043B7"/>
    <w:rsid w:val="00B07392"/>
    <w:rsid w:val="00B07598"/>
    <w:rsid w:val="00B32A1F"/>
    <w:rsid w:val="00B42AD9"/>
    <w:rsid w:val="00B44FD2"/>
    <w:rsid w:val="00B512F5"/>
    <w:rsid w:val="00B5348A"/>
    <w:rsid w:val="00B54F2E"/>
    <w:rsid w:val="00B701D4"/>
    <w:rsid w:val="00B76890"/>
    <w:rsid w:val="00B9147D"/>
    <w:rsid w:val="00B975F2"/>
    <w:rsid w:val="00BC18EE"/>
    <w:rsid w:val="00BC4DD8"/>
    <w:rsid w:val="00BD26E6"/>
    <w:rsid w:val="00BD43F2"/>
    <w:rsid w:val="00BD46F3"/>
    <w:rsid w:val="00BE0EDE"/>
    <w:rsid w:val="00BE7540"/>
    <w:rsid w:val="00C02D15"/>
    <w:rsid w:val="00C31ACD"/>
    <w:rsid w:val="00C45FEE"/>
    <w:rsid w:val="00C54418"/>
    <w:rsid w:val="00C64E76"/>
    <w:rsid w:val="00C70E54"/>
    <w:rsid w:val="00C745F0"/>
    <w:rsid w:val="00CA0BFA"/>
    <w:rsid w:val="00CA1C28"/>
    <w:rsid w:val="00CB6615"/>
    <w:rsid w:val="00CB6FA9"/>
    <w:rsid w:val="00CB70DB"/>
    <w:rsid w:val="00CD1996"/>
    <w:rsid w:val="00CD2436"/>
    <w:rsid w:val="00CE2E67"/>
    <w:rsid w:val="00CF42E7"/>
    <w:rsid w:val="00D12E8E"/>
    <w:rsid w:val="00D3600F"/>
    <w:rsid w:val="00D43DE3"/>
    <w:rsid w:val="00D5485E"/>
    <w:rsid w:val="00D55BE8"/>
    <w:rsid w:val="00D57D09"/>
    <w:rsid w:val="00D6297E"/>
    <w:rsid w:val="00D91B44"/>
    <w:rsid w:val="00D94BD8"/>
    <w:rsid w:val="00DA19B8"/>
    <w:rsid w:val="00DA21C7"/>
    <w:rsid w:val="00DD6C40"/>
    <w:rsid w:val="00DE26E6"/>
    <w:rsid w:val="00E013F4"/>
    <w:rsid w:val="00E01EFF"/>
    <w:rsid w:val="00E128A4"/>
    <w:rsid w:val="00E3323D"/>
    <w:rsid w:val="00E361B6"/>
    <w:rsid w:val="00E41890"/>
    <w:rsid w:val="00E713FE"/>
    <w:rsid w:val="00E96247"/>
    <w:rsid w:val="00EA1198"/>
    <w:rsid w:val="00EA225A"/>
    <w:rsid w:val="00EB0CEB"/>
    <w:rsid w:val="00EB1C96"/>
    <w:rsid w:val="00EC0033"/>
    <w:rsid w:val="00ED171A"/>
    <w:rsid w:val="00EE38FB"/>
    <w:rsid w:val="00EF2CCF"/>
    <w:rsid w:val="00F055F1"/>
    <w:rsid w:val="00F2264E"/>
    <w:rsid w:val="00F47AA3"/>
    <w:rsid w:val="00F602EE"/>
    <w:rsid w:val="00F658D4"/>
    <w:rsid w:val="00F65BA3"/>
    <w:rsid w:val="00F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4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B8"/>
    <w:pPr>
      <w:jc w:val="left"/>
    </w:pPr>
    <w:rPr>
      <w:rFonts w:ascii="Times New Roman" w:hAnsi="Times New Roman" w:cs="Times New Roman"/>
      <w:sz w:val="24"/>
      <w:szCs w:val="24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15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AA3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055F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055F1"/>
    <w:rPr>
      <w:rFonts w:ascii="Tahoma" w:hAnsi="Tahoma" w:cs="Tahoma"/>
      <w:sz w:val="16"/>
      <w:szCs w:val="16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0FB"/>
    <w:rPr>
      <w:rFonts w:ascii="Tahoma" w:hAnsi="Tahoma" w:cs="Tahoma"/>
      <w:sz w:val="16"/>
      <w:szCs w:val="16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115AB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15AB1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5AB1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5B6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47B"/>
    <w:rPr>
      <w:rFonts w:ascii="Times New Roman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5B6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47B"/>
    <w:rPr>
      <w:rFonts w:ascii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5B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idy.obandovillalob\Desktop\Leidy%20Priscila\AN&#193;LISIS%20FORMULARIOS\2016\Impacto%20de%20las%20metas\Impacto%20por%20meta%20e%20Incidentes%20cr&#237;t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R"/>
  <c:chart>
    <c:title>
      <c:tx>
        <c:rich>
          <a:bodyPr/>
          <a:lstStyle/>
          <a:p>
            <a:pPr>
              <a:defRPr sz="1200">
                <a:latin typeface="Calibri" pitchFamily="34" charset="0"/>
                <a:cs typeface="Calibri" pitchFamily="34" charset="0"/>
              </a:defRPr>
            </a:pPr>
            <a:r>
              <a:rPr lang="es-CR" sz="1200">
                <a:latin typeface="Calibri" pitchFamily="34" charset="0"/>
                <a:cs typeface="Calibri" pitchFamily="34" charset="0"/>
              </a:rPr>
              <a:t>Percepción del impacto de la consecución de las metas en el Sistema de Gestión del Desempeño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es-CR"/>
              </a:p>
            </c:txPr>
            <c:showVal val="1"/>
            <c:separator>, </c:separator>
          </c:dLbls>
          <c:cat>
            <c:strRef>
              <c:f>'Tabla de frecuencias'!$C$4:$C$11</c:f>
              <c:strCache>
                <c:ptCount val="8"/>
                <c:pt idx="0">
                  <c:v>TOTAL</c:v>
                </c:pt>
                <c:pt idx="1">
                  <c:v>Mejora en los procesos administrativos</c:v>
                </c:pt>
                <c:pt idx="2">
                  <c:v>Evidencia la calidad de los procesos técnicos y de laboratorio</c:v>
                </c:pt>
                <c:pt idx="3">
                  <c:v>Mejora en la calidad de los productos y servicios</c:v>
                </c:pt>
                <c:pt idx="4">
                  <c:v>Fortalecimiento en la coordinación en procesos de docencia, investigación y acción social</c:v>
                </c:pt>
                <c:pt idx="5">
                  <c:v>Mayor control para el resguardo de activos, salvaguarda de las instalaciones y personas usuarias</c:v>
                </c:pt>
                <c:pt idx="6">
                  <c:v>Coadyuba a la planificación estratégica</c:v>
                </c:pt>
                <c:pt idx="7">
                  <c:v>Brinda información para procesos de capacitación (cierre de brechas)</c:v>
                </c:pt>
              </c:strCache>
            </c:strRef>
          </c:cat>
          <c:val>
            <c:numRef>
              <c:f>'Tabla de frecuencias'!$D$4:$D$11</c:f>
              <c:numCache>
                <c:formatCode>General</c:formatCode>
                <c:ptCount val="8"/>
                <c:pt idx="0">
                  <c:v>445</c:v>
                </c:pt>
                <c:pt idx="1">
                  <c:v>193</c:v>
                </c:pt>
                <c:pt idx="2">
                  <c:v>89</c:v>
                </c:pt>
                <c:pt idx="3">
                  <c:v>81</c:v>
                </c:pt>
                <c:pt idx="4">
                  <c:v>41</c:v>
                </c:pt>
                <c:pt idx="5">
                  <c:v>41</c:v>
                </c:pt>
                <c:pt idx="6">
                  <c:v>35</c:v>
                </c:pt>
                <c:pt idx="7">
                  <c:v>12</c:v>
                </c:pt>
              </c:numCache>
            </c:numRef>
          </c:val>
        </c:ser>
        <c:dLbls>
          <c:showVal val="1"/>
        </c:dLbls>
        <c:gapWidth val="200"/>
        <c:overlap val="-25"/>
        <c:axId val="39736064"/>
        <c:axId val="39738752"/>
      </c:barChart>
      <c:catAx>
        <c:axId val="39736064"/>
        <c:scaling>
          <c:orientation val="maxMin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es-CR"/>
          </a:p>
        </c:txPr>
        <c:crossAx val="39738752"/>
        <c:crosses val="autoZero"/>
        <c:lblAlgn val="ctr"/>
        <c:lblOffset val="100"/>
      </c:catAx>
      <c:valAx>
        <c:axId val="39738752"/>
        <c:scaling>
          <c:orientation val="minMax"/>
          <c:max val="500"/>
        </c:scaling>
        <c:delete val="1"/>
        <c:axPos val="t"/>
        <c:numFmt formatCode="General" sourceLinked="1"/>
        <c:majorTickMark val="none"/>
        <c:tickLblPos val="nextTo"/>
        <c:crossAx val="39736064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6E46-A15F-400A-BF7E-6BB4CC1D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olga.mendez</dc:creator>
  <cp:lastModifiedBy>leidy.obandovillalob</cp:lastModifiedBy>
  <cp:revision>5</cp:revision>
  <cp:lastPrinted>2016-06-23T14:33:00Z</cp:lastPrinted>
  <dcterms:created xsi:type="dcterms:W3CDTF">2017-02-20T14:17:00Z</dcterms:created>
  <dcterms:modified xsi:type="dcterms:W3CDTF">2017-02-20T14:24:00Z</dcterms:modified>
</cp:coreProperties>
</file>